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spacing w:before="222" w:line="220" w:lineRule="auto"/>
        <w:ind w:left="151" w:right="2155" w:firstLine="0"/>
        <w:jc w:val="both"/>
        <w:rPr>
          <w:rFonts w:hint="eastAsia" w:ascii="PMingLiU" w:eastAsia="PMingLiU"/>
          <w:color w:val="FF0000"/>
          <w:spacing w:val="47"/>
          <w:sz w:val="64"/>
        </w:rPr>
      </w:pPr>
      <w:r>
        <w:rPr>
          <w:rFonts w:hint="eastAsia" w:ascii="PMingLiU" w:eastAsia="PMingLiU"/>
          <w:color w:val="FF0000"/>
          <w:spacing w:val="50"/>
          <w:w w:val="90"/>
          <w:sz w:val="64"/>
        </w:rPr>
        <w:t>安徽省住房和城乡建设厅</w:t>
      </w:r>
      <w:r>
        <w:rPr>
          <w:rFonts w:hint="eastAsia" w:ascii="PMingLiU" w:eastAsia="PMingLiU"/>
          <w:color w:val="FF0000"/>
          <w:spacing w:val="47"/>
          <w:sz w:val="64"/>
        </w:rPr>
        <w:t>安徽省</w:t>
      </w:r>
      <w:bookmarkStart w:id="14" w:name="_GoBack"/>
      <w:bookmarkEnd w:id="14"/>
      <w:r>
        <w:rPr>
          <w:rFonts w:hint="eastAsia" w:ascii="PMingLiU" w:eastAsia="PMingLiU"/>
          <w:color w:val="FF0000"/>
          <w:spacing w:val="47"/>
          <w:sz w:val="64"/>
        </w:rPr>
        <w:t>公安厅</w:t>
      </w:r>
    </w:p>
    <w:p>
      <w:pPr>
        <w:spacing w:before="222" w:line="220" w:lineRule="auto"/>
        <w:ind w:left="151" w:right="2155" w:firstLine="0"/>
        <w:jc w:val="both"/>
        <w:rPr>
          <w:rFonts w:hint="eastAsia" w:ascii="PMingLiU" w:eastAsia="PMingLiU"/>
          <w:sz w:val="64"/>
        </w:rPr>
      </w:pPr>
      <w:r>
        <w:rPr>
          <w:rFonts w:hint="eastAsia" w:ascii="PMingLiU" w:eastAsia="PMingLiU"/>
          <w:color w:val="FF0000"/>
          <w:sz w:val="64"/>
        </w:rPr>
        <w:t>安徽省自然资源</w:t>
      </w:r>
      <w:r>
        <w:rPr>
          <w:rFonts w:hint="eastAsia" w:ascii="PMingLiU" w:eastAsia="PMingLiU"/>
          <w:color w:val="FF0000"/>
          <w:spacing w:val="-24"/>
          <w:w w:val="95"/>
          <w:sz w:val="64"/>
        </w:rPr>
        <w:t>厅</w:t>
      </w:r>
    </w:p>
    <w:p>
      <w:pPr>
        <w:spacing w:before="0" w:line="989" w:lineRule="exact"/>
        <w:ind w:left="151" w:right="0" w:firstLine="0"/>
        <w:jc w:val="both"/>
        <w:rPr>
          <w:rFonts w:hint="eastAsia" w:ascii="PMingLiU" w:eastAsia="PMingLiU"/>
          <w:sz w:val="126"/>
        </w:rPr>
      </w:pPr>
      <w:r>
        <w:rPr>
          <w:rFonts w:hint="eastAsia" w:ascii="PMingLiU" w:eastAsia="PMingLiU"/>
          <w:color w:val="FF0000"/>
          <w:w w:val="85"/>
          <w:sz w:val="64"/>
        </w:rPr>
        <w:t>安徽省市场监督管理局</w:t>
      </w:r>
      <w:r>
        <w:rPr>
          <w:rFonts w:hint="eastAsia" w:ascii="PMingLiU" w:eastAsia="宋体"/>
          <w:color w:val="FF0000"/>
          <w:w w:val="85"/>
          <w:sz w:val="64"/>
          <w:lang w:val="en-US" w:eastAsia="zh-CN"/>
        </w:rPr>
        <w:t xml:space="preserve">     </w:t>
      </w:r>
      <w:r>
        <w:rPr>
          <w:rFonts w:hint="eastAsia" w:ascii="PMingLiU" w:eastAsia="PMingLiU"/>
          <w:color w:val="FF0000"/>
          <w:spacing w:val="-5"/>
          <w:w w:val="85"/>
          <w:position w:val="-13"/>
          <w:sz w:val="126"/>
        </w:rPr>
        <w:t>文件</w:t>
      </w:r>
    </w:p>
    <w:p>
      <w:pPr>
        <w:spacing w:before="0" w:line="626" w:lineRule="exact"/>
        <w:ind w:left="151" w:right="0" w:firstLine="0"/>
        <w:jc w:val="both"/>
        <w:rPr>
          <w:rFonts w:hint="eastAsia" w:ascii="PMingLiU" w:eastAsia="PMingLiU"/>
          <w:sz w:val="64"/>
        </w:rPr>
      </w:pPr>
      <w:r>
        <w:rPr>
          <w:rFonts w:hint="eastAsia" w:ascii="PMingLiU" w:eastAsia="PMingLiU"/>
          <w:color w:val="FF0000"/>
          <w:spacing w:val="-15"/>
          <w:w w:val="90"/>
          <w:sz w:val="64"/>
        </w:rPr>
        <w:t>安徽省国防动员办公室</w:t>
      </w:r>
    </w:p>
    <w:p>
      <w:pPr>
        <w:spacing w:before="14" w:line="220" w:lineRule="auto"/>
        <w:ind w:left="151" w:right="2155" w:firstLine="0"/>
        <w:jc w:val="both"/>
        <w:rPr>
          <w:rFonts w:hint="eastAsia" w:ascii="PMingLiU" w:eastAsia="PMingLiU"/>
          <w:color w:val="FF0000"/>
          <w:spacing w:val="-16"/>
          <w:sz w:val="64"/>
        </w:rPr>
      </w:pPr>
      <w:r>
        <w:rPr>
          <w:rFonts w:hint="eastAsia" w:ascii="PMingLiU" w:eastAsia="PMingLiU"/>
          <w:color w:val="FF0000"/>
          <w:spacing w:val="-16"/>
          <w:sz w:val="64"/>
        </w:rPr>
        <w:t>安徽省消防救援总队</w:t>
      </w:r>
    </w:p>
    <w:p>
      <w:pPr>
        <w:spacing w:before="14" w:line="220" w:lineRule="auto"/>
        <w:ind w:left="151" w:right="2155" w:firstLine="0"/>
        <w:jc w:val="both"/>
        <w:rPr>
          <w:rFonts w:hint="eastAsia" w:ascii="PMingLiU" w:eastAsia="PMingLiU"/>
          <w:sz w:val="64"/>
        </w:rPr>
      </w:pPr>
      <w:r>
        <w:rPr>
          <w:rFonts w:hint="eastAsia" w:ascii="PMingLiU" w:eastAsia="PMingLiU"/>
          <w:color w:val="FF0000"/>
          <w:sz w:val="64"/>
        </w:rPr>
        <w:t>安徽省通信管理</w:t>
      </w:r>
      <w:r>
        <w:rPr>
          <w:rFonts w:hint="eastAsia" w:ascii="PMingLiU" w:eastAsia="PMingLiU"/>
          <w:color w:val="FF0000"/>
          <w:spacing w:val="-24"/>
          <w:w w:val="95"/>
          <w:sz w:val="64"/>
        </w:rPr>
        <w:t>局</w:t>
      </w:r>
    </w:p>
    <w:p>
      <w:pPr>
        <w:pStyle w:val="3"/>
        <w:rPr>
          <w:rFonts w:ascii="PMingLiU"/>
          <w:sz w:val="21"/>
        </w:rPr>
      </w:pPr>
    </w:p>
    <w:p>
      <w:pPr>
        <w:pStyle w:val="3"/>
        <w:spacing w:before="54"/>
        <w:ind w:left="419" w:right="441"/>
        <w:jc w:val="center"/>
      </w:pPr>
      <w:r>
        <w:rPr>
          <w:w w:val="95"/>
        </w:rPr>
        <w:t>建房〔2023〕71</w:t>
      </w:r>
      <w:r>
        <w:rPr>
          <w:spacing w:val="-10"/>
          <w:w w:val="95"/>
        </w:rPr>
        <w:t>号</w:t>
      </w:r>
    </w:p>
    <w:p>
      <w:pPr>
        <w:pStyle w:val="3"/>
        <w:spacing w:before="3"/>
        <w:rPr>
          <w:sz w:val="10"/>
        </w:rPr>
      </w:pPr>
      <w:r>
        <w:pict>
          <v:rect id="docshape1" o:spid="_x0000_s1026" o:spt="1" style="position:absolute;left:0pt;margin-left:74.3pt;margin-top:7.75pt;height:2.5pt;width:445.05pt;mso-position-horizontal-relative:page;mso-wrap-distance-bottom:0pt;mso-wrap-distance-top:0pt;z-index:-251650048;mso-width-relative:page;mso-height-relative:page;" fillcolor="#FF0000" filled="t" stroked="f" coordsize="21600,21600">
            <v:path/>
            <v:fill on="t" focussize="0,0"/>
            <v:stroke on="f"/>
            <v:imagedata o:title=""/>
            <o:lock v:ext="edit"/>
            <w10:wrap type="topAndBottom"/>
          </v:rect>
        </w:pict>
      </w:r>
    </w:p>
    <w:p>
      <w:pPr>
        <w:pStyle w:val="3"/>
      </w:pPr>
    </w:p>
    <w:p>
      <w:pPr>
        <w:pStyle w:val="3"/>
        <w:spacing w:before="4"/>
        <w:rPr>
          <w:sz w:val="35"/>
        </w:rPr>
      </w:pPr>
    </w:p>
    <w:p>
      <w:pPr>
        <w:pStyle w:val="2"/>
        <w:spacing w:line="235" w:lineRule="auto"/>
        <w:ind w:left="419" w:right="442"/>
      </w:pPr>
      <w:bookmarkStart w:id="0" w:name="关于印发《住宅小区物业管理常见信访事项"/>
      <w:bookmarkEnd w:id="0"/>
      <w:r>
        <w:rPr>
          <w:spacing w:val="-2"/>
        </w:rPr>
        <w:t>关于印发《住宅小区物业管理常见信访事项处理指引》的通知</w:t>
      </w:r>
    </w:p>
    <w:p>
      <w:pPr>
        <w:pStyle w:val="3"/>
        <w:spacing w:before="6"/>
        <w:rPr>
          <w:rFonts w:ascii="PMingLiU"/>
          <w:sz w:val="50"/>
        </w:rPr>
      </w:pPr>
    </w:p>
    <w:p>
      <w:pPr>
        <w:pStyle w:val="3"/>
        <w:spacing w:line="350" w:lineRule="auto"/>
        <w:ind w:left="151" w:right="113"/>
        <w:jc w:val="both"/>
      </w:pPr>
      <w:r>
        <w:rPr>
          <w:spacing w:val="-4"/>
          <w:w w:val="99"/>
        </w:rPr>
        <w:t>各市住房和城乡建设局、公安局、自然资源和规划局、市场监管</w:t>
      </w:r>
      <w:r>
        <w:rPr>
          <w:spacing w:val="-8"/>
          <w:w w:val="99"/>
        </w:rPr>
        <w:t>局、国防动员办、消防救援支队、通信发展办公室</w:t>
      </w:r>
      <w:r>
        <w:rPr>
          <w:w w:val="99"/>
        </w:rPr>
        <w:t>（共享共建办</w:t>
      </w:r>
      <w:r>
        <w:rPr>
          <w:spacing w:val="1"/>
          <w:w w:val="99"/>
        </w:rPr>
        <w:t>公室</w:t>
      </w:r>
      <w:r>
        <w:rPr>
          <w:w w:val="99"/>
        </w:rPr>
        <w:t>）、经信局、数据资源局，合肥市住房保障和房产管理局，</w:t>
      </w:r>
      <w:r>
        <w:rPr>
          <w:spacing w:val="-6"/>
          <w:w w:val="99"/>
        </w:rPr>
        <w:t>阜阳房屋管理局，六安市城市管理行政执法局，亳州市住房发展</w:t>
      </w:r>
      <w:r>
        <w:rPr>
          <w:spacing w:val="-2"/>
          <w:w w:val="99"/>
        </w:rPr>
        <w:t>中心，宿州市房产管理服务中心：</w:t>
      </w:r>
    </w:p>
    <w:p>
      <w:pPr>
        <w:pStyle w:val="3"/>
        <w:spacing w:before="7"/>
        <w:ind w:left="791"/>
      </w:pPr>
      <w:r>
        <w:rPr>
          <w:w w:val="95"/>
        </w:rPr>
        <w:t>现将《住宅小区物业管理常见信访事项处理指引》印发给</w:t>
      </w:r>
      <w:r>
        <w:rPr>
          <w:spacing w:val="-10"/>
          <w:w w:val="95"/>
        </w:rPr>
        <w:t>你</w:t>
      </w:r>
    </w:p>
    <w:p>
      <w:pPr>
        <w:spacing w:after="0"/>
        <w:sectPr>
          <w:type w:val="continuous"/>
          <w:pgSz w:w="11910" w:h="16840"/>
          <w:pgMar w:top="1920" w:right="1300" w:bottom="280" w:left="1380" w:header="720" w:footer="720" w:gutter="0"/>
          <w:cols w:space="720" w:num="1"/>
        </w:sectPr>
      </w:pPr>
    </w:p>
    <w:p>
      <w:pPr>
        <w:pStyle w:val="3"/>
        <w:spacing w:before="24"/>
        <w:ind w:left="151"/>
      </w:pPr>
      <w:r>
        <w:drawing>
          <wp:anchor distT="0" distB="0" distL="0" distR="0" simplePos="0" relativeHeight="251664384" behindDoc="1" locked="0" layoutInCell="1" allowOverlap="1">
            <wp:simplePos x="0" y="0"/>
            <wp:positionH relativeFrom="page">
              <wp:posOffset>1714500</wp:posOffset>
            </wp:positionH>
            <wp:positionV relativeFrom="paragraph">
              <wp:posOffset>768985</wp:posOffset>
            </wp:positionV>
            <wp:extent cx="1536065" cy="1543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536192" cy="1543050"/>
                    </a:xfrm>
                    <a:prstGeom prst="rect">
                      <a:avLst/>
                    </a:prstGeom>
                  </pic:spPr>
                </pic:pic>
              </a:graphicData>
            </a:graphic>
          </wp:anchor>
        </w:drawing>
      </w:r>
      <w:r>
        <w:pict>
          <v:group id="docshapegroup2" o:spid="_x0000_s1027" o:spt="203" style="position:absolute;left:0pt;margin-left:345.95pt;margin-top:61.05pt;height:120.75pt;width:120.5pt;mso-position-horizontal-relative:page;z-index:251660288;mso-width-relative:page;mso-height-relative:page;" coordorigin="6919,1221" coordsize="2410,2415">
            <o:lock v:ext="edit"/>
            <v:shape id="docshape3" o:spid="_x0000_s1028" o:spt="75" type="#_x0000_t75" style="position:absolute;left:6919;top:1221;height:2415;width:2410;" filled="f" stroked="f" coordsize="21600,21600">
              <v:path/>
              <v:fill on="f" focussize="0,0"/>
              <v:stroke on="f"/>
              <v:imagedata r:id="rId10" o:title=""/>
              <o:lock v:ext="edit" aspectratio="t"/>
            </v:shape>
            <v:shape id="docshape4" o:spid="_x0000_s1029" o:spt="202" type="#_x0000_t202" style="position:absolute;left:6919;top:1221;height:2415;width:2410;" filled="f" stroked="f" coordsize="21600,21600">
              <v:path/>
              <v:fill on="f" focussize="0,0"/>
              <v:stroke on="f" joinstyle="miter"/>
              <v:imagedata o:title=""/>
              <o:lock v:ext="edit"/>
              <v:textbox inset="0mm,0mm,0mm,0mm">
                <w:txbxContent>
                  <w:p>
                    <w:pPr>
                      <w:spacing w:before="0" w:line="240" w:lineRule="auto"/>
                      <w:rPr>
                        <w:rFonts w:ascii="宋体"/>
                        <w:sz w:val="36"/>
                      </w:rPr>
                    </w:pPr>
                  </w:p>
                  <w:p>
                    <w:pPr>
                      <w:spacing w:before="7" w:line="240" w:lineRule="auto"/>
                      <w:rPr>
                        <w:rFonts w:ascii="宋体"/>
                        <w:sz w:val="50"/>
                      </w:rPr>
                    </w:pPr>
                  </w:p>
                  <w:p>
                    <w:pPr>
                      <w:spacing w:before="0"/>
                      <w:ind w:left="211" w:right="0" w:firstLine="0"/>
                      <w:jc w:val="left"/>
                      <w:rPr>
                        <w:rFonts w:ascii="宋体" w:eastAsia="宋体"/>
                        <w:sz w:val="32"/>
                      </w:rPr>
                    </w:pPr>
                    <w:r>
                      <w:rPr>
                        <w:rFonts w:ascii="宋体" w:eastAsia="宋体"/>
                        <w:w w:val="95"/>
                        <w:sz w:val="32"/>
                      </w:rPr>
                      <w:t>安徽省公</w:t>
                    </w:r>
                    <w:r>
                      <w:rPr>
                        <w:rFonts w:ascii="宋体" w:eastAsia="宋体"/>
                        <w:spacing w:val="-5"/>
                        <w:w w:val="95"/>
                        <w:sz w:val="32"/>
                      </w:rPr>
                      <w:t>安厅</w:t>
                    </w:r>
                  </w:p>
                </w:txbxContent>
              </v:textbox>
            </v:shape>
          </v:group>
        </w:pict>
      </w:r>
      <w:r>
        <w:rPr>
          <w:w w:val="95"/>
        </w:rPr>
        <w:t>们，请结合工作实际,认真贯彻落实</w:t>
      </w:r>
      <w:r>
        <w:rPr>
          <w:spacing w:val="-10"/>
          <w:w w:val="95"/>
        </w:rPr>
        <w:t>。</w:t>
      </w:r>
    </w:p>
    <w:p>
      <w:pPr>
        <w:pStyle w:val="3"/>
      </w:pPr>
    </w:p>
    <w:p>
      <w:pPr>
        <w:pStyle w:val="3"/>
      </w:pPr>
    </w:p>
    <w:p>
      <w:pPr>
        <w:pStyle w:val="3"/>
      </w:pPr>
    </w:p>
    <w:p>
      <w:pPr>
        <w:pStyle w:val="3"/>
      </w:pPr>
    </w:p>
    <w:p>
      <w:pPr>
        <w:pStyle w:val="3"/>
        <w:spacing w:before="257"/>
        <w:ind w:left="791"/>
      </w:pPr>
      <w:r>
        <w:rPr>
          <w:w w:val="95"/>
        </w:rPr>
        <w:t>安徽省住房和城乡建设</w:t>
      </w:r>
      <w:r>
        <w:rPr>
          <w:spacing w:val="-10"/>
          <w:w w:val="95"/>
        </w:rPr>
        <w:t>厅</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18"/>
        <w:ind w:left="5078"/>
      </w:pPr>
      <w:r>
        <w:pict>
          <v:group id="docshapegroup5" o:spid="_x0000_s1030" o:spt="203" style="position:absolute;left:0pt;margin-left:130.9pt;margin-top:-45.6pt;height:122.65pt;width:127.95pt;mso-position-horizontal-relative:page;z-index:251659264;mso-width-relative:page;mso-height-relative:page;" coordorigin="2618,-913" coordsize="2559,2453">
            <o:lock v:ext="edit"/>
            <v:shape id="docshape6" o:spid="_x0000_s1031" o:spt="75" type="#_x0000_t75" style="position:absolute;left:2707;top:-913;height:2453;width:2424;" filled="f" stroked="f" coordsize="21600,21600">
              <v:path/>
              <v:fill on="f" focussize="0,0"/>
              <v:stroke on="f"/>
              <v:imagedata r:id="rId11" o:title=""/>
              <o:lock v:ext="edit" aspectratio="t"/>
            </v:shape>
            <v:shape id="docshape7" o:spid="_x0000_s1032" o:spt="202" type="#_x0000_t202" style="position:absolute;left:2618;top:-913;height:2453;width:2559;" filled="f" stroked="f" coordsize="21600,21600">
              <v:path/>
              <v:fill on="f" focussize="0,0"/>
              <v:stroke on="f" joinstyle="miter"/>
              <v:imagedata o:title=""/>
              <o:lock v:ext="edit"/>
              <v:textbox inset="0mm,0mm,0mm,0mm">
                <w:txbxContent>
                  <w:p>
                    <w:pPr>
                      <w:spacing w:before="0" w:line="240" w:lineRule="auto"/>
                      <w:rPr>
                        <w:rFonts w:ascii="宋体"/>
                        <w:sz w:val="36"/>
                      </w:rPr>
                    </w:pPr>
                  </w:p>
                  <w:p>
                    <w:pPr>
                      <w:spacing w:before="3" w:line="240" w:lineRule="auto"/>
                      <w:rPr>
                        <w:rFonts w:ascii="宋体"/>
                        <w:sz w:val="52"/>
                      </w:rPr>
                    </w:pPr>
                  </w:p>
                  <w:p>
                    <w:pPr>
                      <w:spacing w:before="0"/>
                      <w:ind w:left="0" w:right="0" w:firstLine="0"/>
                      <w:jc w:val="left"/>
                      <w:rPr>
                        <w:rFonts w:ascii="宋体" w:eastAsia="宋体"/>
                        <w:sz w:val="32"/>
                      </w:rPr>
                    </w:pPr>
                    <w:r>
                      <w:rPr>
                        <w:rFonts w:ascii="宋体" w:eastAsia="宋体"/>
                        <w:w w:val="95"/>
                        <w:sz w:val="32"/>
                      </w:rPr>
                      <w:t>安徽省自然资源</w:t>
                    </w:r>
                    <w:r>
                      <w:rPr>
                        <w:rFonts w:ascii="宋体" w:eastAsia="宋体"/>
                        <w:spacing w:val="-10"/>
                        <w:w w:val="95"/>
                        <w:sz w:val="32"/>
                      </w:rPr>
                      <w:t>厅</w:t>
                    </w:r>
                  </w:p>
                </w:txbxContent>
              </v:textbox>
            </v:shape>
          </v:group>
        </w:pict>
      </w:r>
      <w:r>
        <w:drawing>
          <wp:anchor distT="0" distB="0" distL="0" distR="0" simplePos="0" relativeHeight="251665408" behindDoc="1" locked="0" layoutInCell="1" allowOverlap="1">
            <wp:simplePos x="0" y="0"/>
            <wp:positionH relativeFrom="page">
              <wp:posOffset>4381500</wp:posOffset>
            </wp:positionH>
            <wp:positionV relativeFrom="paragraph">
              <wp:posOffset>-586740</wp:posOffset>
            </wp:positionV>
            <wp:extent cx="1557655" cy="157289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12" cstate="print"/>
                    <a:stretch>
                      <a:fillRect/>
                    </a:stretch>
                  </pic:blipFill>
                  <pic:spPr>
                    <a:xfrm>
                      <a:off x="0" y="0"/>
                      <a:ext cx="1557527" cy="1572767"/>
                    </a:xfrm>
                    <a:prstGeom prst="rect">
                      <a:avLst/>
                    </a:prstGeom>
                  </pic:spPr>
                </pic:pic>
              </a:graphicData>
            </a:graphic>
          </wp:anchor>
        </w:drawing>
      </w:r>
      <w:r>
        <w:rPr>
          <w:w w:val="95"/>
        </w:rPr>
        <w:t>安徽省市场监督管理</w:t>
      </w:r>
      <w:r>
        <w:rPr>
          <w:spacing w:val="-10"/>
          <w:w w:val="95"/>
        </w:rPr>
        <w:t>局</w:t>
      </w:r>
    </w:p>
    <w:p>
      <w:pPr>
        <w:pStyle w:val="3"/>
        <w:rPr>
          <w:sz w:val="20"/>
        </w:rPr>
      </w:pPr>
    </w:p>
    <w:p>
      <w:pPr>
        <w:pStyle w:val="3"/>
        <w:rPr>
          <w:sz w:val="20"/>
        </w:rPr>
      </w:pPr>
    </w:p>
    <w:p>
      <w:pPr>
        <w:pStyle w:val="3"/>
        <w:rPr>
          <w:sz w:val="20"/>
        </w:rPr>
      </w:pPr>
    </w:p>
    <w:p>
      <w:pPr>
        <w:pStyle w:val="3"/>
        <w:spacing w:before="8"/>
        <w:rPr>
          <w:sz w:val="19"/>
        </w:rPr>
      </w:pPr>
      <w:r>
        <w:pict>
          <v:group id="docshapegroup8" o:spid="_x0000_s1033" o:spt="203" style="position:absolute;left:0pt;margin-left:124.55pt;margin-top:13.75pt;height:129.7pt;width:144pt;mso-position-horizontal-relative:page;mso-wrap-distance-bottom:0pt;mso-wrap-distance-top:0pt;z-index:-251650048;mso-width-relative:page;mso-height-relative:page;" coordorigin="2491,276" coordsize="2880,2594">
            <o:lock v:ext="edit"/>
            <v:shape id="docshape9" o:spid="_x0000_s1034" o:spt="75" type="#_x0000_t75" style="position:absolute;left:2587;top:275;height:2594;width:2600;" filled="f" stroked="f" coordsize="21600,21600">
              <v:path/>
              <v:fill on="f" focussize="0,0"/>
              <v:stroke on="f"/>
              <v:imagedata r:id="rId13" o:title=""/>
              <o:lock v:ext="edit" aspectratio="t"/>
            </v:shape>
            <v:shape id="docshape10" o:spid="_x0000_s1035" o:spt="202" type="#_x0000_t202" style="position:absolute;left:2491;top:275;height:2594;width:2880;" filled="f" stroked="f" coordsize="21600,21600">
              <v:path/>
              <v:fill on="f" focussize="0,0"/>
              <v:stroke on="f" joinstyle="miter"/>
              <v:imagedata o:title=""/>
              <o:lock v:ext="edit"/>
              <v:textbox inset="0mm,0mm,0mm,0mm">
                <w:txbxContent>
                  <w:p>
                    <w:pPr>
                      <w:spacing w:before="0" w:line="240" w:lineRule="auto"/>
                      <w:rPr>
                        <w:rFonts w:ascii="宋体"/>
                        <w:sz w:val="36"/>
                      </w:rPr>
                    </w:pPr>
                  </w:p>
                  <w:p>
                    <w:pPr>
                      <w:spacing w:before="0" w:line="240" w:lineRule="auto"/>
                      <w:rPr>
                        <w:rFonts w:ascii="宋体"/>
                        <w:sz w:val="36"/>
                      </w:rPr>
                    </w:pPr>
                  </w:p>
                  <w:p>
                    <w:pPr>
                      <w:spacing w:before="301"/>
                      <w:ind w:left="0" w:right="0" w:firstLine="0"/>
                      <w:jc w:val="left"/>
                      <w:rPr>
                        <w:rFonts w:ascii="宋体" w:eastAsia="宋体"/>
                        <w:sz w:val="32"/>
                      </w:rPr>
                    </w:pPr>
                    <w:r>
                      <w:rPr>
                        <w:rFonts w:ascii="宋体" w:eastAsia="宋体"/>
                        <w:w w:val="95"/>
                        <w:sz w:val="32"/>
                      </w:rPr>
                      <w:t>安徽省消防救援</w:t>
                    </w:r>
                    <w:r>
                      <w:rPr>
                        <w:rFonts w:ascii="宋体" w:eastAsia="宋体"/>
                        <w:spacing w:val="-5"/>
                        <w:w w:val="95"/>
                        <w:sz w:val="32"/>
                      </w:rPr>
                      <w:t>总队</w:t>
                    </w:r>
                  </w:p>
                </w:txbxContent>
              </v:textbox>
            </v:shape>
            <w10:wrap type="topAndBottom"/>
          </v:group>
        </w:pict>
      </w:r>
      <w:r>
        <w:pict>
          <v:group id="docshapegroup11" o:spid="_x0000_s1036" o:spt="203" style="position:absolute;left:0pt;margin-left:324.6pt;margin-top:18.45pt;height:120.95pt;width:159.95pt;mso-position-horizontal-relative:page;mso-wrap-distance-bottom:0pt;mso-wrap-distance-top:0pt;z-index:-251649024;mso-width-relative:page;mso-height-relative:page;" coordorigin="6492,369" coordsize="3199,2419">
            <o:lock v:ext="edit"/>
            <v:shape id="docshape12" o:spid="_x0000_s1037" o:spt="75" type="#_x0000_t75" style="position:absolute;left:6885;top:369;height:2419;width:2476;" filled="f" stroked="f" coordsize="21600,21600">
              <v:path/>
              <v:fill on="f" focussize="0,0"/>
              <v:stroke on="f"/>
              <v:imagedata r:id="rId14" o:title=""/>
              <o:lock v:ext="edit" aspectratio="t"/>
            </v:shape>
            <v:shape id="docshape13" o:spid="_x0000_s1038" o:spt="202" type="#_x0000_t202" style="position:absolute;left:6492;top:369;height:2419;width:3199;" filled="f" stroked="f" coordsize="21600,21600">
              <v:path/>
              <v:fill on="f" focussize="0,0"/>
              <v:stroke on="f" joinstyle="miter"/>
              <v:imagedata o:title=""/>
              <o:lock v:ext="edit"/>
              <v:textbox inset="0mm,0mm,0mm,0mm">
                <w:txbxContent>
                  <w:p>
                    <w:pPr>
                      <w:spacing w:before="0" w:line="240" w:lineRule="auto"/>
                      <w:rPr>
                        <w:rFonts w:ascii="宋体"/>
                        <w:sz w:val="36"/>
                      </w:rPr>
                    </w:pPr>
                  </w:p>
                  <w:p>
                    <w:pPr>
                      <w:spacing w:before="3" w:line="240" w:lineRule="auto"/>
                      <w:rPr>
                        <w:rFonts w:ascii="宋体"/>
                        <w:sz w:val="52"/>
                      </w:rPr>
                    </w:pPr>
                  </w:p>
                  <w:p>
                    <w:pPr>
                      <w:spacing w:before="0"/>
                      <w:ind w:left="0" w:right="0" w:firstLine="0"/>
                      <w:jc w:val="left"/>
                      <w:rPr>
                        <w:rFonts w:ascii="宋体" w:eastAsia="宋体"/>
                        <w:sz w:val="32"/>
                      </w:rPr>
                    </w:pPr>
                    <w:r>
                      <w:rPr>
                        <w:rFonts w:ascii="宋体" w:eastAsia="宋体"/>
                        <w:w w:val="95"/>
                        <w:sz w:val="32"/>
                      </w:rPr>
                      <w:t>安徽省国防动员</w:t>
                    </w:r>
                    <w:r>
                      <w:rPr>
                        <w:rFonts w:ascii="宋体" w:eastAsia="宋体"/>
                        <w:spacing w:val="-4"/>
                        <w:w w:val="95"/>
                        <w:sz w:val="32"/>
                      </w:rPr>
                      <w:t>办公室</w:t>
                    </w:r>
                  </w:p>
                </w:txbxContent>
              </v:textbox>
            </v:shape>
            <w10:wrap type="topAndBottom"/>
          </v:group>
        </w:pict>
      </w:r>
      <w:r>
        <w:pict>
          <v:group id="docshapegroup14" o:spid="_x0000_s1039" o:spt="203" style="position:absolute;left:0pt;margin-left:343.9pt;margin-top:148.05pt;height:130.6pt;width:135.6pt;mso-position-horizontal-relative:page;mso-wrap-distance-bottom:0pt;mso-wrap-distance-top:0pt;z-index:-251649024;mso-width-relative:page;mso-height-relative:page;" coordorigin="6878,2961" coordsize="2712,2612">
            <o:lock v:ext="edit"/>
            <v:shape id="docshape15" o:spid="_x0000_s1040" o:spt="75" type="#_x0000_t75" style="position:absolute;left:6878;top:2961;height:2612;width:2602;" filled="f" stroked="f" coordsize="21600,21600">
              <v:path/>
              <v:fill on="f" focussize="0,0"/>
              <v:stroke on="f"/>
              <v:imagedata r:id="rId15" o:title=""/>
              <o:lock v:ext="edit" aspectratio="t"/>
            </v:shape>
            <v:shape id="docshape16" o:spid="_x0000_s1041" o:spt="202" type="#_x0000_t202" style="position:absolute;left:6878;top:2961;height:2612;width:2712;" filled="f" stroked="f" coordsize="21600,21600">
              <v:path/>
              <v:fill on="f" focussize="0,0"/>
              <v:stroke on="f" joinstyle="miter"/>
              <v:imagedata o:title=""/>
              <o:lock v:ext="edit"/>
              <v:textbox inset="0mm,0mm,0mm,0mm">
                <w:txbxContent>
                  <w:p>
                    <w:pPr>
                      <w:spacing w:before="0" w:line="240" w:lineRule="auto"/>
                      <w:rPr>
                        <w:rFonts w:ascii="宋体"/>
                        <w:sz w:val="36"/>
                      </w:rPr>
                    </w:pPr>
                  </w:p>
                  <w:p>
                    <w:pPr>
                      <w:spacing w:before="0" w:line="240" w:lineRule="auto"/>
                      <w:rPr>
                        <w:rFonts w:ascii="宋体"/>
                        <w:sz w:val="36"/>
                      </w:rPr>
                    </w:pPr>
                  </w:p>
                  <w:p>
                    <w:pPr>
                      <w:spacing w:before="292"/>
                      <w:ind w:left="153" w:right="0" w:firstLine="0"/>
                      <w:jc w:val="left"/>
                      <w:rPr>
                        <w:rFonts w:ascii="宋体" w:eastAsia="宋体"/>
                        <w:sz w:val="32"/>
                      </w:rPr>
                    </w:pPr>
                    <w:r>
                      <w:rPr>
                        <w:rFonts w:ascii="宋体" w:eastAsia="宋体"/>
                        <w:w w:val="95"/>
                        <w:sz w:val="32"/>
                      </w:rPr>
                      <w:t>安徽省通信管理</w:t>
                    </w:r>
                    <w:r>
                      <w:rPr>
                        <w:rFonts w:ascii="宋体" w:eastAsia="宋体"/>
                        <w:spacing w:val="-10"/>
                        <w:w w:val="95"/>
                        <w:sz w:val="32"/>
                      </w:rPr>
                      <w:t>局</w:t>
                    </w:r>
                  </w:p>
                  <w:p>
                    <w:pPr>
                      <w:spacing w:before="168"/>
                      <w:ind w:left="287" w:right="0" w:firstLine="0"/>
                      <w:jc w:val="left"/>
                      <w:rPr>
                        <w:rFonts w:ascii="宋体" w:eastAsia="宋体"/>
                        <w:sz w:val="32"/>
                      </w:rPr>
                    </w:pPr>
                    <w:r>
                      <w:rPr>
                        <w:rFonts w:ascii="宋体" w:eastAsia="宋体"/>
                        <w:w w:val="95"/>
                        <w:sz w:val="32"/>
                      </w:rPr>
                      <w:t>2023</w:t>
                    </w:r>
                    <w:r>
                      <w:rPr>
                        <w:rFonts w:ascii="宋体" w:eastAsia="宋体"/>
                        <w:spacing w:val="-40"/>
                        <w:w w:val="95"/>
                        <w:sz w:val="32"/>
                      </w:rPr>
                      <w:t xml:space="preserve"> 年 </w:t>
                    </w:r>
                    <w:r>
                      <w:rPr>
                        <w:rFonts w:ascii="宋体" w:eastAsia="宋体"/>
                        <w:w w:val="95"/>
                        <w:sz w:val="32"/>
                      </w:rPr>
                      <w:t>6</w:t>
                    </w:r>
                    <w:r>
                      <w:rPr>
                        <w:rFonts w:ascii="宋体" w:eastAsia="宋体"/>
                        <w:spacing w:val="-40"/>
                        <w:w w:val="95"/>
                        <w:sz w:val="32"/>
                      </w:rPr>
                      <w:t xml:space="preserve"> 月 </w:t>
                    </w:r>
                    <w:r>
                      <w:rPr>
                        <w:rFonts w:ascii="宋体" w:eastAsia="宋体"/>
                        <w:w w:val="95"/>
                        <w:sz w:val="32"/>
                      </w:rPr>
                      <w:t>2</w:t>
                    </w:r>
                    <w:r>
                      <w:rPr>
                        <w:rFonts w:ascii="宋体" w:eastAsia="宋体"/>
                        <w:spacing w:val="-35"/>
                        <w:w w:val="95"/>
                        <w:sz w:val="32"/>
                      </w:rPr>
                      <w:t xml:space="preserve"> 日</w:t>
                    </w:r>
                  </w:p>
                </w:txbxContent>
              </v:textbox>
            </v:shape>
            <w10:wrap type="topAndBottom"/>
          </v:group>
        </w:pict>
      </w:r>
    </w:p>
    <w:p>
      <w:pPr>
        <w:pStyle w:val="3"/>
        <w:spacing w:before="4"/>
        <w:rPr>
          <w:sz w:val="5"/>
        </w:rPr>
      </w:pPr>
    </w:p>
    <w:p>
      <w:pPr>
        <w:spacing w:after="0"/>
        <w:rPr>
          <w:sz w:val="5"/>
        </w:rPr>
        <w:sectPr>
          <w:pgSz w:w="11910" w:h="16840"/>
          <w:pgMar w:top="1820" w:right="1300" w:bottom="280" w:left="138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2"/>
        <w:spacing w:before="222"/>
      </w:pPr>
      <w:bookmarkStart w:id="1" w:name="住宅小区物业管理常见信访事项处理指引"/>
      <w:bookmarkEnd w:id="1"/>
      <w:r>
        <w:rPr>
          <w:w w:val="95"/>
        </w:rPr>
        <w:t>住宅小区物业管理常见信访事项处理指</w:t>
      </w:r>
      <w:r>
        <w:rPr>
          <w:spacing w:val="-10"/>
          <w:w w:val="95"/>
        </w:rPr>
        <w:t>引</w:t>
      </w:r>
    </w:p>
    <w:p>
      <w:pPr>
        <w:spacing w:after="0"/>
        <w:sectPr>
          <w:pgSz w:w="16840" w:h="11910" w:orient="landscape"/>
          <w:pgMar w:top="1340" w:right="1220" w:bottom="280" w:left="1100" w:header="720" w:footer="720" w:gutter="0"/>
          <w:cols w:space="720" w:num="1"/>
        </w:sectPr>
      </w:pPr>
    </w:p>
    <w:p>
      <w:pPr>
        <w:pStyle w:val="3"/>
        <w:rPr>
          <w:rFonts w:ascii="PMingLiU"/>
          <w:sz w:val="20"/>
        </w:rPr>
      </w:pPr>
    </w:p>
    <w:p>
      <w:pPr>
        <w:pStyle w:val="3"/>
        <w:rPr>
          <w:rFonts w:ascii="PMingLiU"/>
          <w:sz w:val="20"/>
        </w:rPr>
      </w:pPr>
    </w:p>
    <w:p>
      <w:pPr>
        <w:pStyle w:val="3"/>
        <w:spacing w:before="3"/>
        <w:rPr>
          <w:rFonts w:ascii="PMingLiU"/>
          <w:sz w:val="22"/>
        </w:rPr>
      </w:pPr>
    </w:p>
    <w:p>
      <w:pPr>
        <w:tabs>
          <w:tab w:val="left" w:pos="1000"/>
        </w:tabs>
        <w:spacing w:before="57"/>
        <w:ind w:left="120" w:right="0" w:firstLine="0"/>
        <w:jc w:val="center"/>
        <w:rPr>
          <w:rFonts w:hint="eastAsia" w:ascii="PMingLiU" w:eastAsia="PMingLiU"/>
          <w:sz w:val="44"/>
        </w:rPr>
      </w:pPr>
      <w:bookmarkStart w:id="2" w:name="_bookmark0"/>
      <w:bookmarkEnd w:id="2"/>
      <w:r>
        <w:rPr>
          <w:rFonts w:hint="eastAsia" w:ascii="PMingLiU" w:eastAsia="PMingLiU"/>
          <w:spacing w:val="-10"/>
          <w:sz w:val="44"/>
        </w:rPr>
        <w:t>目</w:t>
      </w:r>
      <w:r>
        <w:rPr>
          <w:rFonts w:hint="eastAsia" w:ascii="PMingLiU" w:eastAsia="PMingLiU"/>
          <w:sz w:val="44"/>
        </w:rPr>
        <w:tab/>
      </w:r>
      <w:r>
        <w:rPr>
          <w:rFonts w:hint="eastAsia" w:ascii="PMingLiU" w:eastAsia="PMingLiU"/>
          <w:spacing w:val="-10"/>
          <w:sz w:val="44"/>
        </w:rPr>
        <w:t>录</w:t>
      </w:r>
    </w:p>
    <w:p>
      <w:pPr>
        <w:pStyle w:val="3"/>
        <w:spacing w:before="404"/>
        <w:ind w:left="120"/>
        <w:jc w:val="center"/>
        <w:rPr>
          <w:rFonts w:hint="eastAsia" w:ascii="PMingLiU" w:eastAsia="PMingLiU"/>
        </w:rPr>
      </w:pPr>
      <w:r>
        <w:rPr>
          <w:rFonts w:hint="eastAsia" w:ascii="PMingLiU" w:eastAsia="PMingLiU"/>
        </w:rPr>
        <w:t>第一部分</w:t>
      </w:r>
      <w:r>
        <w:rPr>
          <w:rFonts w:hint="eastAsia" w:ascii="PMingLiU" w:eastAsia="PMingLiU"/>
          <w:spacing w:val="18"/>
        </w:rPr>
        <w:t xml:space="preserve"> 违法</w:t>
      </w:r>
      <w:r>
        <w:rPr>
          <w:rFonts w:hint="eastAsia" w:ascii="PMingLiU" w:eastAsia="PMingLiU"/>
        </w:rPr>
        <w:t>违规</w:t>
      </w:r>
      <w:r>
        <w:rPr>
          <w:rFonts w:hint="eastAsia" w:ascii="PMingLiU" w:eastAsia="PMingLiU"/>
          <w:spacing w:val="-5"/>
        </w:rPr>
        <w:t>事项</w:t>
      </w:r>
    </w:p>
    <w:sdt>
      <w:sdtPr>
        <w:id w:val="1"/>
        <w:docPartObj>
          <w:docPartGallery w:val="Table of Contents"/>
          <w:docPartUnique/>
        </w:docPartObj>
      </w:sdtPr>
      <w:sdtContent>
        <w:p>
          <w:pPr>
            <w:pStyle w:val="5"/>
            <w:tabs>
              <w:tab w:val="right" w:leader="dot" w:pos="14295"/>
            </w:tabs>
            <w:spacing w:before="196"/>
            <w:rPr>
              <w:rFonts w:ascii="宋体" w:eastAsia="宋体"/>
            </w:rPr>
          </w:pPr>
          <w:r>
            <w:fldChar w:fldCharType="begin"/>
          </w:r>
          <w:r>
            <w:instrText xml:space="preserve"> HYPERLINK \l "_bookmark0" </w:instrText>
          </w:r>
          <w:r>
            <w:fldChar w:fldCharType="separate"/>
          </w:r>
          <w:r>
            <w:rPr>
              <w:spacing w:val="21"/>
              <w:w w:val="95"/>
            </w:rPr>
            <w:t>住</w:t>
          </w:r>
          <w:r>
            <w:rPr>
              <w:spacing w:val="24"/>
              <w:w w:val="95"/>
            </w:rPr>
            <w:t>建</w:t>
          </w:r>
          <w:r>
            <w:rPr>
              <w:spacing w:val="21"/>
              <w:w w:val="95"/>
            </w:rPr>
            <w:t>（房</w:t>
          </w:r>
          <w:r>
            <w:rPr>
              <w:spacing w:val="24"/>
              <w:w w:val="95"/>
            </w:rPr>
            <w:t>地产</w:t>
          </w:r>
          <w:r>
            <w:rPr>
              <w:spacing w:val="21"/>
              <w:w w:val="95"/>
            </w:rPr>
            <w:t>、</w:t>
          </w:r>
          <w:r>
            <w:rPr>
              <w:spacing w:val="24"/>
              <w:w w:val="95"/>
            </w:rPr>
            <w:t>城</w:t>
          </w:r>
          <w:r>
            <w:rPr>
              <w:spacing w:val="21"/>
              <w:w w:val="95"/>
            </w:rPr>
            <w:t>市</w:t>
          </w:r>
          <w:r>
            <w:rPr>
              <w:spacing w:val="24"/>
              <w:w w:val="95"/>
            </w:rPr>
            <w:t>管</w:t>
          </w:r>
          <w:r>
            <w:rPr>
              <w:spacing w:val="21"/>
              <w:w w:val="95"/>
            </w:rPr>
            <w:t>理</w:t>
          </w:r>
          <w:r>
            <w:rPr>
              <w:spacing w:val="24"/>
              <w:w w:val="95"/>
            </w:rPr>
            <w:t>）</w:t>
          </w:r>
          <w:r>
            <w:rPr>
              <w:spacing w:val="21"/>
              <w:w w:val="95"/>
            </w:rPr>
            <w:t>部</w:t>
          </w:r>
          <w:r>
            <w:rPr>
              <w:spacing w:val="24"/>
              <w:w w:val="95"/>
            </w:rPr>
            <w:t>门</w:t>
          </w:r>
          <w:r>
            <w:rPr>
              <w:spacing w:val="21"/>
              <w:w w:val="95"/>
            </w:rPr>
            <w:t>执</w:t>
          </w:r>
          <w:r>
            <w:rPr>
              <w:spacing w:val="24"/>
              <w:w w:val="95"/>
            </w:rPr>
            <w:t>法</w:t>
          </w:r>
          <w:r>
            <w:rPr>
              <w:spacing w:val="21"/>
              <w:w w:val="95"/>
            </w:rPr>
            <w:t>事</w:t>
          </w:r>
          <w:r>
            <w:rPr>
              <w:spacing w:val="-10"/>
              <w:w w:val="95"/>
            </w:rPr>
            <w:t>项</w:t>
          </w:r>
          <w:r>
            <w:rPr>
              <w:spacing w:val="-10"/>
              <w:w w:val="95"/>
            </w:rPr>
            <w:fldChar w:fldCharType="end"/>
          </w:r>
          <w:r>
            <w:rPr>
              <w:rFonts w:ascii="Times New Roman" w:eastAsia="Times New Roman"/>
            </w:rPr>
            <w:tab/>
          </w:r>
          <w:r>
            <w:rPr>
              <w:rFonts w:ascii="宋体" w:eastAsia="宋体"/>
              <w:spacing w:val="-10"/>
            </w:rPr>
            <w:t>1</w:t>
          </w:r>
        </w:p>
        <w:p>
          <w:pPr>
            <w:pStyle w:val="5"/>
            <w:tabs>
              <w:tab w:val="right" w:leader="dot" w:pos="14293"/>
            </w:tabs>
            <w:spacing w:before="128"/>
            <w:rPr>
              <w:rFonts w:ascii="宋体" w:eastAsia="宋体"/>
            </w:rPr>
          </w:pPr>
          <w:r>
            <w:rPr>
              <w:spacing w:val="24"/>
              <w:w w:val="95"/>
            </w:rPr>
            <w:t>自</w:t>
          </w:r>
          <w:r>
            <w:rPr>
              <w:spacing w:val="26"/>
              <w:w w:val="95"/>
            </w:rPr>
            <w:t>然</w:t>
          </w:r>
          <w:r>
            <w:rPr>
              <w:spacing w:val="24"/>
              <w:w w:val="95"/>
            </w:rPr>
            <w:t>资</w:t>
          </w:r>
          <w:r>
            <w:rPr>
              <w:spacing w:val="26"/>
              <w:w w:val="95"/>
            </w:rPr>
            <w:t>源</w:t>
          </w:r>
          <w:r>
            <w:rPr>
              <w:spacing w:val="24"/>
              <w:w w:val="95"/>
            </w:rPr>
            <w:t>部</w:t>
          </w:r>
          <w:r>
            <w:rPr>
              <w:spacing w:val="26"/>
              <w:w w:val="95"/>
            </w:rPr>
            <w:t>门</w:t>
          </w:r>
          <w:r>
            <w:rPr>
              <w:spacing w:val="24"/>
              <w:w w:val="95"/>
            </w:rPr>
            <w:t>执</w:t>
          </w:r>
          <w:r>
            <w:rPr>
              <w:spacing w:val="26"/>
              <w:w w:val="95"/>
            </w:rPr>
            <w:t>法</w:t>
          </w:r>
          <w:r>
            <w:rPr>
              <w:spacing w:val="24"/>
              <w:w w:val="95"/>
            </w:rPr>
            <w:t>事</w:t>
          </w:r>
          <w:r>
            <w:rPr>
              <w:spacing w:val="-10"/>
              <w:w w:val="95"/>
            </w:rPr>
            <w:t>项</w:t>
          </w:r>
          <w:r>
            <w:rPr>
              <w:rFonts w:ascii="Times New Roman" w:eastAsia="Times New Roman"/>
            </w:rPr>
            <w:tab/>
          </w:r>
          <w:r>
            <w:rPr>
              <w:rFonts w:ascii="宋体" w:eastAsia="宋体"/>
              <w:spacing w:val="3"/>
            </w:rPr>
            <w:t>16</w:t>
          </w:r>
        </w:p>
        <w:p>
          <w:pPr>
            <w:pStyle w:val="5"/>
            <w:tabs>
              <w:tab w:val="right" w:leader="dot" w:pos="14293"/>
            </w:tabs>
            <w:spacing w:before="125"/>
          </w:pPr>
          <w:r>
            <w:fldChar w:fldCharType="begin"/>
          </w:r>
          <w:r>
            <w:instrText xml:space="preserve"> HYPERLINK \l "_bookmark1" </w:instrText>
          </w:r>
          <w:r>
            <w:fldChar w:fldCharType="separate"/>
          </w:r>
          <w:r>
            <w:rPr>
              <w:spacing w:val="26"/>
              <w:w w:val="95"/>
            </w:rPr>
            <w:t>市</w:t>
          </w:r>
          <w:r>
            <w:rPr>
              <w:spacing w:val="24"/>
              <w:w w:val="95"/>
            </w:rPr>
            <w:t>场</w:t>
          </w:r>
          <w:r>
            <w:rPr>
              <w:spacing w:val="26"/>
              <w:w w:val="95"/>
            </w:rPr>
            <w:t>监管部</w:t>
          </w:r>
          <w:r>
            <w:rPr>
              <w:spacing w:val="24"/>
              <w:w w:val="95"/>
            </w:rPr>
            <w:t>门</w:t>
          </w:r>
          <w:r>
            <w:rPr>
              <w:spacing w:val="26"/>
              <w:w w:val="95"/>
            </w:rPr>
            <w:t>执法</w:t>
          </w:r>
          <w:r>
            <w:rPr>
              <w:spacing w:val="24"/>
              <w:w w:val="95"/>
            </w:rPr>
            <w:t>事</w:t>
          </w:r>
          <w:r>
            <w:rPr>
              <w:spacing w:val="-10"/>
              <w:w w:val="95"/>
            </w:rPr>
            <w:t>项</w:t>
          </w:r>
          <w:r>
            <w:rPr>
              <w:spacing w:val="-10"/>
              <w:w w:val="95"/>
            </w:rPr>
            <w:fldChar w:fldCharType="end"/>
          </w:r>
          <w:r>
            <w:rPr>
              <w:rFonts w:ascii="Times New Roman" w:eastAsia="Times New Roman"/>
            </w:rPr>
            <w:tab/>
          </w:r>
          <w:r>
            <w:rPr>
              <w:spacing w:val="5"/>
            </w:rPr>
            <w:t>17</w:t>
          </w:r>
        </w:p>
        <w:p>
          <w:pPr>
            <w:pStyle w:val="5"/>
            <w:tabs>
              <w:tab w:val="right" w:leader="dot" w:pos="14293"/>
            </w:tabs>
            <w:spacing w:before="128"/>
          </w:pPr>
          <w:r>
            <w:fldChar w:fldCharType="begin"/>
          </w:r>
          <w:r>
            <w:instrText xml:space="preserve"> HYPERLINK \l "_bookmark2" </w:instrText>
          </w:r>
          <w:r>
            <w:fldChar w:fldCharType="separate"/>
          </w:r>
          <w:r>
            <w:rPr>
              <w:spacing w:val="26"/>
              <w:w w:val="95"/>
            </w:rPr>
            <w:t>公</w:t>
          </w:r>
          <w:r>
            <w:rPr>
              <w:spacing w:val="24"/>
              <w:w w:val="95"/>
            </w:rPr>
            <w:t>安</w:t>
          </w:r>
          <w:r>
            <w:rPr>
              <w:spacing w:val="26"/>
              <w:w w:val="95"/>
            </w:rPr>
            <w:t>部</w:t>
          </w:r>
          <w:r>
            <w:rPr>
              <w:spacing w:val="24"/>
              <w:w w:val="95"/>
            </w:rPr>
            <w:t>门</w:t>
          </w:r>
          <w:r>
            <w:rPr>
              <w:spacing w:val="26"/>
              <w:w w:val="95"/>
            </w:rPr>
            <w:t>执法</w:t>
          </w:r>
          <w:r>
            <w:rPr>
              <w:spacing w:val="24"/>
              <w:w w:val="95"/>
            </w:rPr>
            <w:t>事</w:t>
          </w:r>
          <w:r>
            <w:rPr>
              <w:spacing w:val="-10"/>
              <w:w w:val="95"/>
            </w:rPr>
            <w:t>项</w:t>
          </w:r>
          <w:r>
            <w:rPr>
              <w:spacing w:val="-10"/>
              <w:w w:val="95"/>
            </w:rPr>
            <w:fldChar w:fldCharType="end"/>
          </w:r>
          <w:r>
            <w:rPr>
              <w:rFonts w:ascii="Times New Roman" w:eastAsia="Times New Roman"/>
            </w:rPr>
            <w:tab/>
          </w:r>
          <w:r>
            <w:rPr>
              <w:spacing w:val="5"/>
            </w:rPr>
            <w:t>22</w:t>
          </w:r>
        </w:p>
        <w:p>
          <w:pPr>
            <w:pStyle w:val="5"/>
            <w:tabs>
              <w:tab w:val="right" w:leader="dot" w:pos="14293"/>
            </w:tabs>
          </w:pPr>
          <w:r>
            <w:fldChar w:fldCharType="begin"/>
          </w:r>
          <w:r>
            <w:instrText xml:space="preserve"> HYPERLINK \l "_bookmark3" </w:instrText>
          </w:r>
          <w:r>
            <w:fldChar w:fldCharType="separate"/>
          </w:r>
          <w:r>
            <w:rPr>
              <w:spacing w:val="26"/>
              <w:w w:val="95"/>
            </w:rPr>
            <w:t>消</w:t>
          </w:r>
          <w:r>
            <w:rPr>
              <w:spacing w:val="24"/>
              <w:w w:val="95"/>
            </w:rPr>
            <w:t>防</w:t>
          </w:r>
          <w:r>
            <w:rPr>
              <w:spacing w:val="26"/>
              <w:w w:val="95"/>
            </w:rPr>
            <w:t>救援机</w:t>
          </w:r>
          <w:r>
            <w:rPr>
              <w:spacing w:val="24"/>
              <w:w w:val="95"/>
            </w:rPr>
            <w:t>构</w:t>
          </w:r>
          <w:r>
            <w:rPr>
              <w:spacing w:val="26"/>
              <w:w w:val="95"/>
            </w:rPr>
            <w:t>执法</w:t>
          </w:r>
          <w:r>
            <w:rPr>
              <w:spacing w:val="24"/>
              <w:w w:val="95"/>
            </w:rPr>
            <w:t>事</w:t>
          </w:r>
          <w:r>
            <w:rPr>
              <w:spacing w:val="-10"/>
              <w:w w:val="95"/>
            </w:rPr>
            <w:t>项</w:t>
          </w:r>
          <w:r>
            <w:rPr>
              <w:spacing w:val="-10"/>
              <w:w w:val="95"/>
            </w:rPr>
            <w:fldChar w:fldCharType="end"/>
          </w:r>
          <w:r>
            <w:rPr>
              <w:rFonts w:ascii="Times New Roman" w:eastAsia="Times New Roman"/>
            </w:rPr>
            <w:tab/>
          </w:r>
          <w:r>
            <w:rPr>
              <w:spacing w:val="5"/>
            </w:rPr>
            <w:t>24</w:t>
          </w:r>
        </w:p>
        <w:p>
          <w:pPr>
            <w:pStyle w:val="5"/>
            <w:tabs>
              <w:tab w:val="right" w:leader="dot" w:pos="14293"/>
            </w:tabs>
            <w:spacing w:before="126"/>
          </w:pPr>
          <w:r>
            <w:fldChar w:fldCharType="begin"/>
          </w:r>
          <w:r>
            <w:instrText xml:space="preserve"> HYPERLINK \l "_bookmark4" </w:instrText>
          </w:r>
          <w:r>
            <w:fldChar w:fldCharType="separate"/>
          </w:r>
          <w:r>
            <w:rPr>
              <w:spacing w:val="26"/>
              <w:w w:val="95"/>
            </w:rPr>
            <w:t>国</w:t>
          </w:r>
          <w:r>
            <w:rPr>
              <w:spacing w:val="24"/>
              <w:w w:val="95"/>
            </w:rPr>
            <w:t>防</w:t>
          </w:r>
          <w:r>
            <w:rPr>
              <w:spacing w:val="26"/>
              <w:w w:val="95"/>
            </w:rPr>
            <w:t>动员</w:t>
          </w:r>
          <w:r>
            <w:rPr>
              <w:spacing w:val="24"/>
              <w:w w:val="95"/>
            </w:rPr>
            <w:t>部</w:t>
          </w:r>
          <w:r>
            <w:rPr>
              <w:spacing w:val="26"/>
              <w:w w:val="95"/>
            </w:rPr>
            <w:t>门执法</w:t>
          </w:r>
          <w:r>
            <w:rPr>
              <w:spacing w:val="24"/>
              <w:w w:val="95"/>
            </w:rPr>
            <w:t>事</w:t>
          </w:r>
          <w:r>
            <w:rPr>
              <w:spacing w:val="-10"/>
              <w:w w:val="95"/>
            </w:rPr>
            <w:t>项</w:t>
          </w:r>
          <w:r>
            <w:rPr>
              <w:spacing w:val="-10"/>
              <w:w w:val="95"/>
            </w:rPr>
            <w:fldChar w:fldCharType="end"/>
          </w:r>
          <w:r>
            <w:rPr>
              <w:rFonts w:ascii="Times New Roman" w:eastAsia="Times New Roman"/>
            </w:rPr>
            <w:tab/>
          </w:r>
          <w:r>
            <w:rPr>
              <w:spacing w:val="5"/>
            </w:rPr>
            <w:t>29</w:t>
          </w:r>
        </w:p>
        <w:p>
          <w:pPr>
            <w:pStyle w:val="5"/>
            <w:tabs>
              <w:tab w:val="right" w:leader="dot" w:pos="14293"/>
            </w:tabs>
          </w:pPr>
          <w:r>
            <w:rPr>
              <w:spacing w:val="26"/>
              <w:w w:val="95"/>
            </w:rPr>
            <w:t>其</w:t>
          </w:r>
          <w:r>
            <w:rPr>
              <w:spacing w:val="24"/>
              <w:w w:val="95"/>
            </w:rPr>
            <w:t>他</w:t>
          </w:r>
          <w:r>
            <w:rPr>
              <w:spacing w:val="26"/>
              <w:w w:val="95"/>
            </w:rPr>
            <w:t>单位</w:t>
          </w:r>
          <w:r>
            <w:rPr>
              <w:spacing w:val="24"/>
              <w:w w:val="95"/>
            </w:rPr>
            <w:t>执</w:t>
          </w:r>
          <w:r>
            <w:rPr>
              <w:spacing w:val="26"/>
              <w:w w:val="95"/>
            </w:rPr>
            <w:t>法事</w:t>
          </w:r>
          <w:r>
            <w:rPr>
              <w:spacing w:val="-10"/>
              <w:w w:val="95"/>
            </w:rPr>
            <w:t>项</w:t>
          </w:r>
          <w:r>
            <w:rPr>
              <w:rFonts w:ascii="Times New Roman" w:eastAsia="Times New Roman"/>
            </w:rPr>
            <w:tab/>
          </w:r>
          <w:r>
            <w:rPr>
              <w:spacing w:val="5"/>
            </w:rPr>
            <w:t>31</w:t>
          </w:r>
        </w:p>
        <w:p>
          <w:pPr>
            <w:pStyle w:val="4"/>
            <w:tabs>
              <w:tab w:val="left" w:pos="1718"/>
            </w:tabs>
          </w:pPr>
          <w:r>
            <w:fldChar w:fldCharType="begin"/>
          </w:r>
          <w:r>
            <w:instrText xml:space="preserve"> HYPERLINK \l "_TOC_250000" </w:instrText>
          </w:r>
          <w:r>
            <w:fldChar w:fldCharType="separate"/>
          </w:r>
          <w:r>
            <w:rPr>
              <w:w w:val="95"/>
            </w:rPr>
            <w:t>第二部</w:t>
          </w:r>
          <w:r>
            <w:rPr>
              <w:spacing w:val="-10"/>
              <w:w w:val="95"/>
            </w:rPr>
            <w:t>分</w:t>
          </w:r>
          <w:r>
            <w:tab/>
          </w:r>
          <w:r>
            <w:rPr>
              <w:w w:val="95"/>
            </w:rPr>
            <w:t>咨询服务事</w:t>
          </w:r>
          <w:r>
            <w:rPr>
              <w:spacing w:val="-10"/>
              <w:w w:val="95"/>
            </w:rPr>
            <w:t>项</w:t>
          </w:r>
          <w:r>
            <w:rPr>
              <w:spacing w:val="-10"/>
              <w:w w:val="95"/>
            </w:rPr>
            <w:fldChar w:fldCharType="end"/>
          </w:r>
        </w:p>
        <w:p>
          <w:pPr>
            <w:pStyle w:val="5"/>
            <w:tabs>
              <w:tab w:val="right" w:leader="dot" w:pos="14293"/>
            </w:tabs>
            <w:spacing w:before="195"/>
            <w:rPr>
              <w:rFonts w:ascii="宋体" w:eastAsia="宋体"/>
            </w:rPr>
          </w:pPr>
          <w:r>
            <w:rPr>
              <w:rFonts w:ascii="宋体" w:eastAsia="宋体"/>
              <w:spacing w:val="24"/>
              <w:w w:val="95"/>
            </w:rPr>
            <w:t>物</w:t>
          </w:r>
          <w:r>
            <w:rPr>
              <w:rFonts w:ascii="宋体" w:eastAsia="宋体"/>
              <w:spacing w:val="26"/>
              <w:w w:val="95"/>
            </w:rPr>
            <w:t>业</w:t>
          </w:r>
          <w:r>
            <w:rPr>
              <w:rFonts w:ascii="宋体" w:eastAsia="宋体"/>
              <w:spacing w:val="24"/>
              <w:w w:val="95"/>
            </w:rPr>
            <w:t>管</w:t>
          </w:r>
          <w:r>
            <w:rPr>
              <w:rFonts w:ascii="宋体" w:eastAsia="宋体"/>
              <w:spacing w:val="26"/>
              <w:w w:val="95"/>
            </w:rPr>
            <w:t>理</w:t>
          </w:r>
          <w:r>
            <w:rPr>
              <w:rFonts w:ascii="宋体" w:eastAsia="宋体"/>
              <w:spacing w:val="24"/>
              <w:w w:val="95"/>
            </w:rPr>
            <w:t>区</w:t>
          </w:r>
          <w:r>
            <w:rPr>
              <w:rFonts w:ascii="宋体" w:eastAsia="宋体"/>
              <w:spacing w:val="-10"/>
              <w:w w:val="95"/>
            </w:rPr>
            <w:t>域</w:t>
          </w:r>
          <w:r>
            <w:rPr>
              <w:rFonts w:ascii="Times New Roman" w:eastAsia="Times New Roman"/>
            </w:rPr>
            <w:tab/>
          </w:r>
          <w:r>
            <w:rPr>
              <w:rFonts w:ascii="宋体" w:eastAsia="宋体"/>
              <w:spacing w:val="5"/>
            </w:rPr>
            <w:t>31</w:t>
          </w:r>
        </w:p>
        <w:p>
          <w:pPr>
            <w:pStyle w:val="5"/>
            <w:tabs>
              <w:tab w:val="right" w:leader="dot" w:pos="14293"/>
            </w:tabs>
            <w:spacing w:before="126"/>
            <w:rPr>
              <w:rFonts w:ascii="宋体" w:eastAsia="宋体"/>
            </w:rPr>
          </w:pPr>
          <w:r>
            <w:rPr>
              <w:rFonts w:ascii="宋体" w:eastAsia="宋体"/>
              <w:spacing w:val="24"/>
              <w:w w:val="95"/>
            </w:rPr>
            <w:t>业</w:t>
          </w:r>
          <w:r>
            <w:rPr>
              <w:rFonts w:ascii="宋体" w:eastAsia="宋体"/>
              <w:spacing w:val="26"/>
              <w:w w:val="95"/>
            </w:rPr>
            <w:t>主</w:t>
          </w:r>
          <w:r>
            <w:rPr>
              <w:rFonts w:ascii="宋体" w:eastAsia="宋体"/>
              <w:spacing w:val="24"/>
              <w:w w:val="95"/>
            </w:rPr>
            <w:t>大</w:t>
          </w:r>
          <w:r>
            <w:rPr>
              <w:rFonts w:ascii="宋体" w:eastAsia="宋体"/>
              <w:spacing w:val="26"/>
              <w:w w:val="95"/>
            </w:rPr>
            <w:t>会</w:t>
          </w:r>
          <w:r>
            <w:rPr>
              <w:rFonts w:ascii="宋体" w:eastAsia="宋体"/>
              <w:spacing w:val="24"/>
              <w:w w:val="95"/>
            </w:rPr>
            <w:t>业</w:t>
          </w:r>
          <w:r>
            <w:rPr>
              <w:rFonts w:ascii="宋体" w:eastAsia="宋体"/>
              <w:spacing w:val="26"/>
              <w:w w:val="95"/>
            </w:rPr>
            <w:t>主</w:t>
          </w:r>
          <w:r>
            <w:rPr>
              <w:rFonts w:ascii="宋体" w:eastAsia="宋体"/>
              <w:spacing w:val="24"/>
              <w:w w:val="95"/>
            </w:rPr>
            <w:t>委</w:t>
          </w:r>
          <w:r>
            <w:rPr>
              <w:rFonts w:ascii="宋体" w:eastAsia="宋体"/>
              <w:spacing w:val="26"/>
              <w:w w:val="95"/>
            </w:rPr>
            <w:t>员</w:t>
          </w:r>
          <w:r>
            <w:rPr>
              <w:rFonts w:ascii="宋体" w:eastAsia="宋体"/>
              <w:spacing w:val="-10"/>
              <w:w w:val="95"/>
            </w:rPr>
            <w:t>会</w:t>
          </w:r>
          <w:r>
            <w:rPr>
              <w:rFonts w:ascii="Times New Roman" w:eastAsia="Times New Roman"/>
            </w:rPr>
            <w:tab/>
          </w:r>
          <w:r>
            <w:rPr>
              <w:rFonts w:ascii="宋体" w:eastAsia="宋体"/>
              <w:spacing w:val="5"/>
            </w:rPr>
            <w:t>32</w:t>
          </w:r>
        </w:p>
        <w:p>
          <w:pPr>
            <w:pStyle w:val="5"/>
            <w:tabs>
              <w:tab w:val="right" w:leader="dot" w:pos="14293"/>
            </w:tabs>
            <w:rPr>
              <w:rFonts w:ascii="宋体" w:eastAsia="宋体"/>
            </w:rPr>
          </w:pPr>
          <w:r>
            <w:rPr>
              <w:rFonts w:ascii="宋体" w:eastAsia="宋体"/>
              <w:spacing w:val="24"/>
              <w:w w:val="95"/>
            </w:rPr>
            <w:t>信</w:t>
          </w:r>
          <w:r>
            <w:rPr>
              <w:rFonts w:ascii="宋体" w:eastAsia="宋体"/>
              <w:spacing w:val="26"/>
              <w:w w:val="95"/>
            </w:rPr>
            <w:t>息</w:t>
          </w:r>
          <w:r>
            <w:rPr>
              <w:rFonts w:ascii="宋体" w:eastAsia="宋体"/>
              <w:spacing w:val="24"/>
              <w:w w:val="95"/>
            </w:rPr>
            <w:t>公</w:t>
          </w:r>
          <w:r>
            <w:rPr>
              <w:rFonts w:ascii="宋体" w:eastAsia="宋体"/>
              <w:spacing w:val="-10"/>
              <w:w w:val="95"/>
            </w:rPr>
            <w:t>开</w:t>
          </w:r>
          <w:r>
            <w:rPr>
              <w:rFonts w:ascii="Times New Roman" w:eastAsia="Times New Roman"/>
            </w:rPr>
            <w:tab/>
          </w:r>
          <w:r>
            <w:rPr>
              <w:rFonts w:ascii="宋体" w:eastAsia="宋体"/>
              <w:spacing w:val="5"/>
            </w:rPr>
            <w:t>34</w:t>
          </w:r>
        </w:p>
        <w:p>
          <w:pPr>
            <w:pStyle w:val="5"/>
            <w:tabs>
              <w:tab w:val="right" w:leader="dot" w:pos="14293"/>
            </w:tabs>
            <w:spacing w:before="128"/>
            <w:rPr>
              <w:rFonts w:ascii="宋体" w:eastAsia="宋体"/>
            </w:rPr>
          </w:pPr>
          <w:r>
            <w:rPr>
              <w:rFonts w:ascii="宋体" w:eastAsia="宋体"/>
              <w:spacing w:val="24"/>
              <w:w w:val="95"/>
            </w:rPr>
            <w:t>物</w:t>
          </w:r>
          <w:r>
            <w:rPr>
              <w:rFonts w:ascii="宋体" w:eastAsia="宋体"/>
              <w:spacing w:val="26"/>
              <w:w w:val="95"/>
            </w:rPr>
            <w:t>业</w:t>
          </w:r>
          <w:r>
            <w:rPr>
              <w:rFonts w:ascii="宋体" w:eastAsia="宋体"/>
              <w:spacing w:val="24"/>
              <w:w w:val="95"/>
            </w:rPr>
            <w:t>服</w:t>
          </w:r>
          <w:r>
            <w:rPr>
              <w:rFonts w:ascii="宋体" w:eastAsia="宋体"/>
              <w:spacing w:val="26"/>
              <w:w w:val="95"/>
            </w:rPr>
            <w:t>务</w:t>
          </w:r>
          <w:r>
            <w:rPr>
              <w:rFonts w:ascii="宋体" w:eastAsia="宋体"/>
              <w:spacing w:val="24"/>
              <w:w w:val="95"/>
            </w:rPr>
            <w:t>质</w:t>
          </w:r>
          <w:r>
            <w:rPr>
              <w:rFonts w:ascii="宋体" w:eastAsia="宋体"/>
              <w:spacing w:val="-10"/>
              <w:w w:val="95"/>
            </w:rPr>
            <w:t>量</w:t>
          </w:r>
          <w:r>
            <w:rPr>
              <w:rFonts w:ascii="Times New Roman" w:eastAsia="Times New Roman"/>
            </w:rPr>
            <w:tab/>
          </w:r>
          <w:r>
            <w:rPr>
              <w:rFonts w:ascii="宋体" w:eastAsia="宋体"/>
              <w:spacing w:val="5"/>
            </w:rPr>
            <w:t>37</w:t>
          </w:r>
        </w:p>
        <w:p>
          <w:pPr>
            <w:pStyle w:val="5"/>
            <w:tabs>
              <w:tab w:val="right" w:leader="dot" w:pos="14269"/>
            </w:tabs>
            <w:spacing w:before="125"/>
            <w:rPr>
              <w:rFonts w:ascii="宋体" w:eastAsia="宋体"/>
            </w:rPr>
          </w:pPr>
          <w:r>
            <w:rPr>
              <w:rFonts w:ascii="宋体" w:eastAsia="宋体"/>
              <w:spacing w:val="24"/>
              <w:w w:val="95"/>
            </w:rPr>
            <w:t>工程</w:t>
          </w:r>
          <w:r>
            <w:rPr>
              <w:rFonts w:ascii="宋体" w:eastAsia="宋体"/>
              <w:spacing w:val="26"/>
              <w:w w:val="95"/>
            </w:rPr>
            <w:t>质</w:t>
          </w:r>
          <w:r>
            <w:rPr>
              <w:rFonts w:ascii="宋体" w:eastAsia="宋体"/>
              <w:spacing w:val="24"/>
              <w:w w:val="95"/>
            </w:rPr>
            <w:t>量问</w:t>
          </w:r>
          <w:r>
            <w:rPr>
              <w:rFonts w:ascii="宋体" w:eastAsia="宋体"/>
              <w:spacing w:val="-10"/>
              <w:w w:val="95"/>
            </w:rPr>
            <w:t>题</w:t>
          </w:r>
          <w:r>
            <w:rPr>
              <w:rFonts w:ascii="Times New Roman" w:eastAsia="Times New Roman"/>
            </w:rPr>
            <w:tab/>
          </w:r>
          <w:r>
            <w:rPr>
              <w:rFonts w:ascii="宋体" w:eastAsia="宋体"/>
              <w:spacing w:val="2"/>
            </w:rPr>
            <w:t>38</w:t>
          </w:r>
        </w:p>
      </w:sdtContent>
    </w:sdt>
    <w:p>
      <w:pPr>
        <w:spacing w:after="0"/>
        <w:rPr>
          <w:rFonts w:ascii="宋体" w:eastAsia="宋体"/>
        </w:rPr>
        <w:sectPr>
          <w:pgSz w:w="16840" w:h="11910" w:orient="landscape"/>
          <w:pgMar w:top="1340" w:right="1220" w:bottom="280" w:left="1100" w:header="720" w:footer="720" w:gutter="0"/>
          <w:cols w:space="720" w:num="1"/>
        </w:sectPr>
      </w:pPr>
    </w:p>
    <w:p>
      <w:pPr>
        <w:pStyle w:val="2"/>
        <w:spacing w:before="346"/>
        <w:ind w:right="225"/>
      </w:pPr>
      <w:bookmarkStart w:id="3" w:name="第一部分 违法违规事项"/>
      <w:bookmarkEnd w:id="3"/>
      <w:r>
        <w:t>第一部分</w:t>
      </w:r>
      <w:r>
        <w:rPr>
          <w:spacing w:val="24"/>
        </w:rPr>
        <w:t xml:space="preserve"> 违法</w:t>
      </w:r>
      <w:r>
        <w:t>违规</w:t>
      </w:r>
      <w:r>
        <w:rPr>
          <w:spacing w:val="-5"/>
        </w:rPr>
        <w:t>事项</w:t>
      </w:r>
    </w:p>
    <w:p>
      <w:pPr>
        <w:pStyle w:val="3"/>
        <w:spacing w:before="5" w:after="1"/>
        <w:rPr>
          <w:rFonts w:ascii="PMingLiU"/>
          <w:sz w:val="11"/>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45" w:type="dxa"/>
            <w:gridSpan w:val="5"/>
          </w:tcPr>
          <w:p>
            <w:pPr>
              <w:pStyle w:val="10"/>
              <w:spacing w:before="134"/>
              <w:ind w:left="4454" w:right="4448"/>
              <w:jc w:val="center"/>
              <w:rPr>
                <w:rFonts w:ascii="黑体" w:eastAsia="黑体"/>
                <w:sz w:val="28"/>
              </w:rPr>
            </w:pPr>
            <w:bookmarkStart w:id="4" w:name="住建（房地产、城市管理）部门执法事项"/>
            <w:bookmarkEnd w:id="4"/>
            <w:r>
              <w:rPr>
                <w:rFonts w:ascii="黑体" w:eastAsia="黑体"/>
                <w:spacing w:val="-2"/>
                <w:sz w:val="28"/>
              </w:rPr>
              <w:t>住建（房地产、城市管理）</w:t>
            </w:r>
            <w:r>
              <w:rPr>
                <w:rFonts w:ascii="黑体" w:eastAsia="黑体"/>
                <w:spacing w:val="-4"/>
                <w:sz w:val="28"/>
              </w:rPr>
              <w:t>部门执法事项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85" w:type="dxa"/>
          </w:tcPr>
          <w:p>
            <w:pPr>
              <w:pStyle w:val="10"/>
              <w:spacing w:before="92"/>
              <w:ind w:left="98" w:right="89"/>
              <w:jc w:val="center"/>
              <w:rPr>
                <w:rFonts w:ascii="黑体" w:eastAsia="黑体"/>
                <w:sz w:val="28"/>
              </w:rPr>
            </w:pPr>
            <w:r>
              <w:rPr>
                <w:rFonts w:ascii="黑体" w:eastAsia="黑体"/>
                <w:spacing w:val="-6"/>
                <w:sz w:val="28"/>
              </w:rPr>
              <w:t>序号</w:t>
            </w:r>
          </w:p>
        </w:tc>
        <w:tc>
          <w:tcPr>
            <w:tcW w:w="1949" w:type="dxa"/>
          </w:tcPr>
          <w:p>
            <w:pPr>
              <w:pStyle w:val="10"/>
              <w:spacing w:before="92"/>
              <w:ind w:left="132"/>
              <w:rPr>
                <w:rFonts w:ascii="黑体" w:eastAsia="黑体"/>
                <w:sz w:val="28"/>
              </w:rPr>
            </w:pPr>
            <w:r>
              <w:rPr>
                <w:rFonts w:ascii="黑体" w:eastAsia="黑体"/>
                <w:spacing w:val="-4"/>
                <w:sz w:val="28"/>
              </w:rPr>
              <w:t>信访投诉问题</w:t>
            </w:r>
          </w:p>
        </w:tc>
        <w:tc>
          <w:tcPr>
            <w:tcW w:w="4917" w:type="dxa"/>
          </w:tcPr>
          <w:p>
            <w:pPr>
              <w:pStyle w:val="10"/>
              <w:spacing w:before="92"/>
              <w:ind w:left="1885" w:right="1878"/>
              <w:jc w:val="center"/>
              <w:rPr>
                <w:rFonts w:ascii="黑体" w:eastAsia="黑体"/>
                <w:sz w:val="28"/>
              </w:rPr>
            </w:pPr>
            <w:r>
              <w:rPr>
                <w:rFonts w:ascii="黑体" w:eastAsia="黑体"/>
                <w:spacing w:val="-4"/>
                <w:sz w:val="28"/>
              </w:rPr>
              <w:t>相关规定</w:t>
            </w:r>
          </w:p>
        </w:tc>
        <w:tc>
          <w:tcPr>
            <w:tcW w:w="4954" w:type="dxa"/>
          </w:tcPr>
          <w:p>
            <w:pPr>
              <w:pStyle w:val="10"/>
              <w:spacing w:before="92"/>
              <w:ind w:left="1357"/>
              <w:rPr>
                <w:rFonts w:ascii="黑体" w:eastAsia="黑体"/>
                <w:sz w:val="28"/>
              </w:rPr>
            </w:pPr>
            <w:r>
              <w:rPr>
                <w:rFonts w:ascii="黑体" w:eastAsia="黑体"/>
                <w:spacing w:val="-2"/>
                <w:sz w:val="28"/>
              </w:rPr>
              <w:t>处理（处罚）</w:t>
            </w:r>
            <w:r>
              <w:rPr>
                <w:rFonts w:ascii="黑体" w:eastAsia="黑体"/>
                <w:spacing w:val="-6"/>
                <w:sz w:val="28"/>
              </w:rPr>
              <w:t>依据</w:t>
            </w:r>
          </w:p>
        </w:tc>
        <w:tc>
          <w:tcPr>
            <w:tcW w:w="1340" w:type="dxa"/>
          </w:tcPr>
          <w:p>
            <w:pPr>
              <w:pStyle w:val="10"/>
              <w:spacing w:before="92"/>
              <w:ind w:left="108"/>
              <w:rPr>
                <w:rFonts w:ascii="黑体" w:eastAsia="黑体"/>
                <w:sz w:val="28"/>
              </w:rPr>
            </w:pPr>
            <w:r>
              <w:rPr>
                <w:rFonts w:ascii="黑体" w:eastAsia="黑体"/>
                <w:spacing w:val="-4"/>
                <w:sz w:val="28"/>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3"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2"/>
              <w:rPr>
                <w:rFonts w:ascii="PMingLiU"/>
                <w:sz w:val="21"/>
              </w:rPr>
            </w:pPr>
          </w:p>
          <w:p>
            <w:pPr>
              <w:pStyle w:val="10"/>
              <w:ind w:left="6"/>
              <w:jc w:val="center"/>
              <w:rPr>
                <w:rFonts w:ascii="黑体"/>
                <w:sz w:val="32"/>
              </w:rPr>
            </w:pPr>
            <w:r>
              <w:rPr>
                <w:rFonts w:ascii="黑体"/>
                <w:w w:val="99"/>
                <w:sz w:val="32"/>
              </w:rPr>
              <w:t>1</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8"/>
              <w:rPr>
                <w:rFonts w:ascii="PMingLiU"/>
                <w:sz w:val="20"/>
              </w:rPr>
            </w:pPr>
          </w:p>
          <w:p>
            <w:pPr>
              <w:pStyle w:val="10"/>
              <w:spacing w:before="1" w:line="312" w:lineRule="auto"/>
              <w:ind w:left="106" w:right="97"/>
              <w:rPr>
                <w:sz w:val="24"/>
              </w:rPr>
            </w:pPr>
            <w:r>
              <w:rPr>
                <w:spacing w:val="-2"/>
                <w:sz w:val="24"/>
              </w:rPr>
              <w:t>房屋未经竣工验收交付使用。</w:t>
            </w:r>
          </w:p>
        </w:tc>
        <w:tc>
          <w:tcPr>
            <w:tcW w:w="4917" w:type="dxa"/>
          </w:tcPr>
          <w:p>
            <w:pPr>
              <w:pStyle w:val="10"/>
              <w:rPr>
                <w:rFonts w:ascii="PMingLiU"/>
                <w:sz w:val="24"/>
              </w:rPr>
            </w:pPr>
          </w:p>
          <w:p>
            <w:pPr>
              <w:pStyle w:val="10"/>
              <w:spacing w:before="8"/>
              <w:rPr>
                <w:rFonts w:ascii="PMingLiU"/>
                <w:sz w:val="16"/>
              </w:rPr>
            </w:pPr>
          </w:p>
          <w:p>
            <w:pPr>
              <w:pStyle w:val="10"/>
              <w:tabs>
                <w:tab w:val="left" w:pos="4087"/>
              </w:tabs>
              <w:spacing w:line="312" w:lineRule="auto"/>
              <w:ind w:left="108" w:right="-15"/>
              <w:rPr>
                <w:sz w:val="24"/>
              </w:rPr>
            </w:pPr>
            <w:r>
              <w:rPr>
                <w:spacing w:val="-2"/>
                <w:sz w:val="24"/>
              </w:rPr>
              <w:t>《建设工程质量管理条例</w:t>
            </w:r>
            <w:r>
              <w:rPr>
                <w:spacing w:val="-101"/>
                <w:sz w:val="24"/>
              </w:rPr>
              <w:t>》</w:t>
            </w:r>
            <w:r>
              <w:rPr>
                <w:spacing w:val="-2"/>
                <w:sz w:val="24"/>
              </w:rPr>
              <w:t>第十六条</w:t>
            </w:r>
            <w:r>
              <w:rPr>
                <w:sz w:val="24"/>
              </w:rPr>
              <w:tab/>
            </w:r>
            <w:r>
              <w:rPr>
                <w:spacing w:val="-4"/>
                <w:sz w:val="24"/>
              </w:rPr>
              <w:t>建设单</w:t>
            </w:r>
            <w:r>
              <w:rPr>
                <w:spacing w:val="-2"/>
                <w:sz w:val="24"/>
              </w:rPr>
              <w:t>位收到建设工程竣工报告后，应当组织设计、施工</w:t>
            </w:r>
            <w:r>
              <w:rPr>
                <w:spacing w:val="-51"/>
                <w:sz w:val="24"/>
              </w:rPr>
              <w:t>、</w:t>
            </w:r>
            <w:r>
              <w:rPr>
                <w:spacing w:val="-2"/>
                <w:sz w:val="24"/>
              </w:rPr>
              <w:t>工程监理等有关单位进行竣工验收。建设工程经验收合格的，方可交付使用。</w:t>
            </w:r>
          </w:p>
          <w:p>
            <w:pPr>
              <w:pStyle w:val="10"/>
              <w:spacing w:line="312" w:lineRule="auto"/>
              <w:ind w:left="108" w:right="-15"/>
              <w:rPr>
                <w:sz w:val="24"/>
              </w:rPr>
            </w:pPr>
            <w:r>
              <w:rPr>
                <w:sz w:val="24"/>
              </w:rPr>
              <w:t>第十七条</w:t>
            </w:r>
            <w:r>
              <w:rPr>
                <w:spacing w:val="80"/>
                <w:w w:val="150"/>
                <w:sz w:val="24"/>
              </w:rPr>
              <w:t xml:space="preserve"> </w:t>
            </w:r>
            <w:r>
              <w:rPr>
                <w:sz w:val="24"/>
              </w:rPr>
              <w:t>建设单位应当严格按照国家有关</w:t>
            </w:r>
            <w:r>
              <w:rPr>
                <w:spacing w:val="-13"/>
                <w:sz w:val="24"/>
              </w:rPr>
              <w:t>档案管理的规定，及时收集、整理建设项目各</w:t>
            </w:r>
            <w:r>
              <w:rPr>
                <w:spacing w:val="-2"/>
                <w:sz w:val="24"/>
              </w:rPr>
              <w:t>环节的文件资料，建立、健全建设项目档案，</w:t>
            </w:r>
            <w:r>
              <w:rPr>
                <w:spacing w:val="-11"/>
                <w:sz w:val="24"/>
              </w:rPr>
              <w:t>并在建设工程竣工验收后，及时向建设行政主</w:t>
            </w:r>
            <w:r>
              <w:rPr>
                <w:spacing w:val="-2"/>
                <w:sz w:val="24"/>
              </w:rPr>
              <w:t>管部门或者其他有关部门移交建设项目档案。</w:t>
            </w:r>
          </w:p>
        </w:tc>
        <w:tc>
          <w:tcPr>
            <w:tcW w:w="4954" w:type="dxa"/>
          </w:tcPr>
          <w:p>
            <w:pPr>
              <w:pStyle w:val="10"/>
              <w:spacing w:before="166" w:line="312" w:lineRule="auto"/>
              <w:ind w:left="106" w:right="-29"/>
              <w:jc w:val="both"/>
              <w:rPr>
                <w:sz w:val="24"/>
              </w:rPr>
            </w:pPr>
            <w:r>
              <w:rPr>
                <w:sz w:val="24"/>
              </w:rPr>
              <w:t>《建设工程质量管理条例》第五十八条规定，</w:t>
            </w:r>
            <w:r>
              <w:rPr>
                <w:spacing w:val="8"/>
                <w:sz w:val="24"/>
              </w:rPr>
              <w:t>违反本条例规定，建设单位有下列行为之一</w:t>
            </w:r>
            <w:r>
              <w:rPr>
                <w:spacing w:val="-3"/>
                <w:sz w:val="24"/>
              </w:rPr>
              <w:t xml:space="preserve">的，责令改正，处工程合同价款 </w:t>
            </w:r>
            <w:r>
              <w:rPr>
                <w:spacing w:val="2"/>
                <w:sz w:val="24"/>
              </w:rPr>
              <w:t>2％</w:t>
            </w:r>
            <w:r>
              <w:rPr>
                <w:spacing w:val="-18"/>
                <w:sz w:val="24"/>
              </w:rPr>
              <w:t xml:space="preserve">以上 </w:t>
            </w:r>
            <w:r>
              <w:rPr>
                <w:spacing w:val="2"/>
                <w:sz w:val="24"/>
              </w:rPr>
              <w:t>4</w:t>
            </w:r>
            <w:r>
              <w:rPr>
                <w:sz w:val="24"/>
              </w:rPr>
              <w:t>％</w:t>
            </w:r>
            <w:r>
              <w:rPr>
                <w:spacing w:val="-14"/>
                <w:sz w:val="24"/>
              </w:rPr>
              <w:t>以下的罚款；造成损失的，依法承担赔偿责任：</w:t>
            </w:r>
          </w:p>
          <w:p>
            <w:pPr>
              <w:pStyle w:val="10"/>
              <w:spacing w:before="2" w:line="312" w:lineRule="auto"/>
              <w:ind w:left="106" w:right="-29"/>
              <w:rPr>
                <w:sz w:val="24"/>
              </w:rPr>
            </w:pPr>
            <w:r>
              <w:rPr>
                <w:spacing w:val="-2"/>
                <w:sz w:val="24"/>
              </w:rPr>
              <w:t>（一</w:t>
            </w:r>
            <w:r>
              <w:rPr>
                <w:spacing w:val="-106"/>
                <w:sz w:val="24"/>
              </w:rPr>
              <w:t>）</w:t>
            </w:r>
            <w:r>
              <w:rPr>
                <w:spacing w:val="-13"/>
                <w:sz w:val="24"/>
              </w:rPr>
              <w:t>未组织竣工验收，擅自交付使用的</w:t>
            </w:r>
            <w:r>
              <w:rPr>
                <w:spacing w:val="-209"/>
                <w:sz w:val="24"/>
              </w:rPr>
              <w:t>；</w:t>
            </w:r>
            <w:r>
              <w:rPr>
                <w:spacing w:val="-3"/>
                <w:sz w:val="24"/>
              </w:rPr>
              <w:t>（</w:t>
            </w:r>
            <w:r>
              <w:rPr>
                <w:spacing w:val="-2"/>
                <w:sz w:val="24"/>
              </w:rPr>
              <w:t>二）验收不合格，擅自交付使用的；（三）对不合格的建设工程按照合格工程验收的。</w:t>
            </w:r>
          </w:p>
          <w:p>
            <w:pPr>
              <w:pStyle w:val="10"/>
              <w:spacing w:before="1" w:line="312" w:lineRule="auto"/>
              <w:ind w:left="106" w:right="97"/>
              <w:jc w:val="both"/>
              <w:rPr>
                <w:sz w:val="24"/>
              </w:rPr>
            </w:pPr>
            <w:r>
              <w:rPr>
                <w:spacing w:val="-5"/>
                <w:sz w:val="24"/>
              </w:rPr>
              <w:t>第五十九条 违反本条例规定，建设工程竣工</w:t>
            </w:r>
            <w:r>
              <w:rPr>
                <w:spacing w:val="-10"/>
                <w:sz w:val="24"/>
              </w:rPr>
              <w:t>验收后，建设单位未向建设行政主管部门或者</w:t>
            </w:r>
            <w:r>
              <w:rPr>
                <w:spacing w:val="-1"/>
                <w:sz w:val="24"/>
              </w:rPr>
              <w:t>其他有关部门移交建设项目档案的，责令改</w:t>
            </w:r>
          </w:p>
          <w:p>
            <w:pPr>
              <w:pStyle w:val="10"/>
              <w:spacing w:before="1"/>
              <w:ind w:left="106"/>
              <w:jc w:val="both"/>
              <w:rPr>
                <w:sz w:val="24"/>
              </w:rPr>
            </w:pPr>
            <w:r>
              <w:rPr>
                <w:spacing w:val="-15"/>
                <w:sz w:val="24"/>
              </w:rPr>
              <w:t xml:space="preserve">正，处 </w:t>
            </w:r>
            <w:r>
              <w:rPr>
                <w:sz w:val="24"/>
              </w:rPr>
              <w:t>1</w:t>
            </w:r>
            <w:r>
              <w:rPr>
                <w:spacing w:val="-20"/>
                <w:sz w:val="24"/>
              </w:rPr>
              <w:t xml:space="preserve"> 万元以上 </w:t>
            </w:r>
            <w:r>
              <w:rPr>
                <w:sz w:val="24"/>
              </w:rPr>
              <w:t>10</w:t>
            </w:r>
            <w:r>
              <w:rPr>
                <w:spacing w:val="-9"/>
                <w:sz w:val="24"/>
              </w:rPr>
              <w:t xml:space="preserve"> 万元以下的罚款。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5"/>
              <w:rPr>
                <w:rFonts w:ascii="PMingLiU"/>
                <w:sz w:val="30"/>
              </w:rPr>
            </w:pPr>
          </w:p>
          <w:p>
            <w:pPr>
              <w:pStyle w:val="10"/>
              <w:spacing w:line="312" w:lineRule="auto"/>
              <w:ind w:left="106" w:right="98"/>
              <w:jc w:val="both"/>
              <w:rPr>
                <w:sz w:val="24"/>
              </w:rPr>
            </w:pPr>
            <w:r>
              <w:rPr>
                <w:spacing w:val="36"/>
                <w:sz w:val="24"/>
              </w:rPr>
              <w:t>县级以上建设行政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785" w:type="dxa"/>
          </w:tcPr>
          <w:p>
            <w:pPr>
              <w:pStyle w:val="10"/>
              <w:rPr>
                <w:rFonts w:ascii="PMingLiU"/>
                <w:sz w:val="43"/>
              </w:rPr>
            </w:pPr>
          </w:p>
          <w:p>
            <w:pPr>
              <w:pStyle w:val="10"/>
              <w:ind w:left="6"/>
              <w:jc w:val="center"/>
              <w:rPr>
                <w:rFonts w:ascii="黑体"/>
                <w:sz w:val="32"/>
              </w:rPr>
            </w:pPr>
            <w:r>
              <w:rPr>
                <w:rFonts w:ascii="黑体"/>
                <w:w w:val="99"/>
                <w:sz w:val="32"/>
              </w:rPr>
              <w:t>2</w:t>
            </w:r>
          </w:p>
        </w:tc>
        <w:tc>
          <w:tcPr>
            <w:tcW w:w="1949" w:type="dxa"/>
          </w:tcPr>
          <w:p>
            <w:pPr>
              <w:pStyle w:val="10"/>
              <w:spacing w:before="81" w:line="312" w:lineRule="auto"/>
              <w:ind w:left="106" w:right="97"/>
              <w:jc w:val="both"/>
              <w:rPr>
                <w:sz w:val="24"/>
              </w:rPr>
            </w:pPr>
            <w:r>
              <w:rPr>
                <w:spacing w:val="-2"/>
                <w:sz w:val="24"/>
              </w:rPr>
              <w:t>新建住宅小区未经综合查验，或经综合查验不合</w:t>
            </w:r>
          </w:p>
          <w:p>
            <w:pPr>
              <w:pStyle w:val="10"/>
              <w:spacing w:before="1" w:line="297" w:lineRule="exact"/>
              <w:ind w:left="106"/>
              <w:rPr>
                <w:sz w:val="24"/>
              </w:rPr>
            </w:pPr>
            <w:r>
              <w:rPr>
                <w:spacing w:val="-2"/>
                <w:sz w:val="24"/>
              </w:rPr>
              <w:t>格交付使用</w:t>
            </w:r>
          </w:p>
        </w:tc>
        <w:tc>
          <w:tcPr>
            <w:tcW w:w="4917" w:type="dxa"/>
          </w:tcPr>
          <w:p>
            <w:pPr>
              <w:pStyle w:val="10"/>
              <w:rPr>
                <w:rFonts w:ascii="PMingLiU"/>
                <w:sz w:val="20"/>
              </w:rPr>
            </w:pPr>
          </w:p>
          <w:p>
            <w:pPr>
              <w:pStyle w:val="10"/>
              <w:spacing w:before="1" w:line="312" w:lineRule="auto"/>
              <w:ind w:left="108" w:right="97"/>
              <w:jc w:val="both"/>
              <w:rPr>
                <w:sz w:val="24"/>
              </w:rPr>
            </w:pPr>
            <w:r>
              <w:rPr>
                <w:spacing w:val="-8"/>
                <w:sz w:val="24"/>
              </w:rPr>
              <w:t>《安徽省新建住宅小区综合查验办法》第十条</w:t>
            </w:r>
            <w:r>
              <w:rPr>
                <w:spacing w:val="-9"/>
                <w:sz w:val="24"/>
              </w:rPr>
              <w:t>新建住宅小区经综合查验合格后，方可交付使</w:t>
            </w:r>
            <w:r>
              <w:rPr>
                <w:spacing w:val="-6"/>
                <w:sz w:val="24"/>
              </w:rPr>
              <w:t>用。</w:t>
            </w:r>
          </w:p>
        </w:tc>
        <w:tc>
          <w:tcPr>
            <w:tcW w:w="4954" w:type="dxa"/>
          </w:tcPr>
          <w:p>
            <w:pPr>
              <w:pStyle w:val="10"/>
              <w:spacing w:before="81" w:line="312" w:lineRule="auto"/>
              <w:ind w:left="106" w:right="97"/>
              <w:jc w:val="both"/>
              <w:rPr>
                <w:sz w:val="24"/>
              </w:rPr>
            </w:pPr>
            <w:r>
              <w:rPr>
                <w:spacing w:val="-6"/>
                <w:sz w:val="24"/>
              </w:rPr>
              <w:t>《安徽省新建住宅小区综合查验办法》第十三</w:t>
            </w:r>
            <w:r>
              <w:rPr>
                <w:spacing w:val="-4"/>
                <w:sz w:val="24"/>
              </w:rPr>
              <w:t>条 新建住宅小区综合查验不合格的，商品房</w:t>
            </w:r>
            <w:r>
              <w:rPr>
                <w:spacing w:val="-9"/>
                <w:sz w:val="24"/>
              </w:rPr>
              <w:t>预售监管资金、房地产开发项目资本金不予全</w:t>
            </w:r>
          </w:p>
          <w:p>
            <w:pPr>
              <w:pStyle w:val="10"/>
              <w:spacing w:before="1" w:line="297" w:lineRule="exact"/>
              <w:ind w:left="106"/>
              <w:rPr>
                <w:sz w:val="24"/>
              </w:rPr>
            </w:pPr>
            <w:r>
              <w:rPr>
                <w:spacing w:val="-3"/>
                <w:sz w:val="24"/>
              </w:rPr>
              <w:t>额解控。</w:t>
            </w:r>
          </w:p>
        </w:tc>
        <w:tc>
          <w:tcPr>
            <w:tcW w:w="1340" w:type="dxa"/>
          </w:tcPr>
          <w:p>
            <w:pPr>
              <w:pStyle w:val="10"/>
              <w:spacing w:before="81" w:line="312" w:lineRule="auto"/>
              <w:ind w:left="106" w:right="98"/>
              <w:jc w:val="both"/>
              <w:rPr>
                <w:sz w:val="24"/>
              </w:rPr>
            </w:pPr>
            <w:r>
              <w:rPr>
                <w:spacing w:val="36"/>
                <w:sz w:val="24"/>
              </w:rPr>
              <w:t>县级以上房地产行</w:t>
            </w:r>
            <w:r>
              <w:rPr>
                <w:spacing w:val="37"/>
                <w:sz w:val="24"/>
              </w:rPr>
              <w:t>政主管部</w:t>
            </w:r>
          </w:p>
          <w:p>
            <w:pPr>
              <w:pStyle w:val="10"/>
              <w:spacing w:before="1" w:line="297" w:lineRule="exact"/>
              <w:ind w:left="106"/>
              <w:rPr>
                <w:sz w:val="24"/>
              </w:rPr>
            </w:pPr>
            <w:r>
              <w:rPr>
                <w:sz w:val="24"/>
              </w:rPr>
              <w:t>门</w:t>
            </w:r>
          </w:p>
        </w:tc>
      </w:tr>
    </w:tbl>
    <w:p>
      <w:pPr>
        <w:spacing w:after="0" w:line="297" w:lineRule="exact"/>
        <w:rPr>
          <w:sz w:val="24"/>
        </w:rPr>
        <w:sectPr>
          <w:footerReference r:id="rId5" w:type="default"/>
          <w:pgSz w:w="16840" w:h="11910" w:orient="landscape"/>
          <w:pgMar w:top="1340" w:right="1220" w:bottom="1160" w:left="1100" w:header="0" w:footer="972" w:gutter="0"/>
          <w:pgNumType w:start="1"/>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0" w:hRule="atLeast"/>
        </w:trPr>
        <w:tc>
          <w:tcPr>
            <w:tcW w:w="785" w:type="dxa"/>
          </w:tcPr>
          <w:p>
            <w:pPr>
              <w:pStyle w:val="10"/>
              <w:rPr>
                <w:rFonts w:ascii="PMingLiU"/>
                <w:sz w:val="32"/>
              </w:rPr>
            </w:pPr>
          </w:p>
          <w:p>
            <w:pPr>
              <w:pStyle w:val="10"/>
              <w:rPr>
                <w:rFonts w:ascii="PMingLiU"/>
                <w:sz w:val="32"/>
              </w:rPr>
            </w:pPr>
          </w:p>
          <w:p>
            <w:pPr>
              <w:pStyle w:val="10"/>
              <w:spacing w:before="12"/>
              <w:rPr>
                <w:rFonts w:ascii="PMingLiU"/>
                <w:sz w:val="40"/>
              </w:rPr>
            </w:pPr>
          </w:p>
          <w:p>
            <w:pPr>
              <w:pStyle w:val="10"/>
              <w:ind w:right="302"/>
              <w:jc w:val="right"/>
              <w:rPr>
                <w:rFonts w:ascii="黑体"/>
                <w:sz w:val="32"/>
              </w:rPr>
            </w:pPr>
            <w:r>
              <w:rPr>
                <w:rFonts w:ascii="黑体"/>
                <w:w w:val="99"/>
                <w:sz w:val="32"/>
              </w:rPr>
              <w:t>3</w:t>
            </w:r>
          </w:p>
        </w:tc>
        <w:tc>
          <w:tcPr>
            <w:tcW w:w="1949" w:type="dxa"/>
          </w:tcPr>
          <w:p>
            <w:pPr>
              <w:pStyle w:val="10"/>
              <w:rPr>
                <w:rFonts w:ascii="PMingLiU"/>
                <w:sz w:val="24"/>
              </w:rPr>
            </w:pPr>
          </w:p>
          <w:p>
            <w:pPr>
              <w:pStyle w:val="10"/>
              <w:spacing w:before="215" w:line="312" w:lineRule="auto"/>
              <w:ind w:left="106" w:right="97"/>
              <w:jc w:val="both"/>
              <w:rPr>
                <w:sz w:val="24"/>
              </w:rPr>
            </w:pPr>
            <w:r>
              <w:rPr>
                <w:spacing w:val="-2"/>
                <w:sz w:val="24"/>
              </w:rPr>
              <w:t>建设单位（开发商）未通过招标方式选聘物业服务企业或者擅自采用协议方式选聘物业服务企业</w:t>
            </w:r>
          </w:p>
        </w:tc>
        <w:tc>
          <w:tcPr>
            <w:tcW w:w="4917" w:type="dxa"/>
          </w:tcPr>
          <w:p>
            <w:pPr>
              <w:pStyle w:val="10"/>
              <w:spacing w:before="152" w:line="312" w:lineRule="auto"/>
              <w:ind w:left="108" w:right="94"/>
              <w:rPr>
                <w:sz w:val="24"/>
              </w:rPr>
            </w:pPr>
            <w:r>
              <w:rPr>
                <w:spacing w:val="-12"/>
                <w:sz w:val="24"/>
              </w:rPr>
              <w:t>《物业管理条例》第二十四条：国家提倡建设</w:t>
            </w:r>
            <w:r>
              <w:rPr>
                <w:spacing w:val="-2"/>
                <w:sz w:val="24"/>
              </w:rPr>
              <w:t>单位按照房地产开发与物业管理相分离的原则，通过招投标的方式选聘物业服务企业。</w:t>
            </w:r>
            <w:r>
              <w:rPr>
                <w:spacing w:val="-12"/>
                <w:sz w:val="24"/>
              </w:rPr>
              <w:t>住宅物业的建设单位，应当通过招投标的方式</w:t>
            </w:r>
            <w:r>
              <w:rPr>
                <w:spacing w:val="-16"/>
                <w:sz w:val="24"/>
              </w:rPr>
              <w:t xml:space="preserve">选聘物业服务企业；投标人少于 </w:t>
            </w:r>
            <w:r>
              <w:rPr>
                <w:spacing w:val="-2"/>
                <w:sz w:val="24"/>
              </w:rPr>
              <w:t>3</w:t>
            </w:r>
            <w:r>
              <w:rPr>
                <w:spacing w:val="-12"/>
                <w:sz w:val="24"/>
              </w:rPr>
              <w:t xml:space="preserve"> 个或者住宅规模较小的，经物业所在地的区、县人民政府</w:t>
            </w:r>
            <w:r>
              <w:rPr>
                <w:spacing w:val="-10"/>
                <w:sz w:val="24"/>
              </w:rPr>
              <w:t>房地产行政主管部门批准，可以采用协议方式</w:t>
            </w:r>
          </w:p>
          <w:p>
            <w:pPr>
              <w:pStyle w:val="10"/>
              <w:ind w:left="108"/>
              <w:rPr>
                <w:sz w:val="24"/>
              </w:rPr>
            </w:pPr>
            <w:r>
              <w:rPr>
                <w:spacing w:val="-2"/>
                <w:sz w:val="24"/>
              </w:rPr>
              <w:t>选聘物业服务企业。</w:t>
            </w:r>
          </w:p>
        </w:tc>
        <w:tc>
          <w:tcPr>
            <w:tcW w:w="4954" w:type="dxa"/>
          </w:tcPr>
          <w:p>
            <w:pPr>
              <w:pStyle w:val="10"/>
              <w:rPr>
                <w:rFonts w:ascii="PMingLiU"/>
                <w:sz w:val="24"/>
              </w:rPr>
            </w:pPr>
          </w:p>
          <w:p>
            <w:pPr>
              <w:pStyle w:val="10"/>
              <w:spacing w:before="215" w:line="312" w:lineRule="auto"/>
              <w:ind w:left="106" w:right="-29"/>
              <w:jc w:val="both"/>
              <w:rPr>
                <w:sz w:val="24"/>
              </w:rPr>
            </w:pPr>
            <w:r>
              <w:rPr>
                <w:spacing w:val="-6"/>
                <w:sz w:val="24"/>
              </w:rPr>
              <w:t>《物业管理条例》第五十六条：违反本条例的</w:t>
            </w:r>
            <w:r>
              <w:rPr>
                <w:spacing w:val="-9"/>
                <w:sz w:val="24"/>
              </w:rPr>
              <w:t>规定，住宅物业的建设单位未通过招投标的方</w:t>
            </w:r>
            <w:r>
              <w:rPr>
                <w:spacing w:val="-13"/>
                <w:sz w:val="24"/>
              </w:rPr>
              <w:t>式选聘物业服务企业或者未经批准，擅自采用</w:t>
            </w:r>
            <w:r>
              <w:rPr>
                <w:spacing w:val="-15"/>
                <w:sz w:val="24"/>
              </w:rPr>
              <w:t>协议方式选聘物业服务企业的，由县级以上地</w:t>
            </w:r>
            <w:r>
              <w:rPr>
                <w:spacing w:val="8"/>
                <w:sz w:val="24"/>
              </w:rPr>
              <w:t>方人民政府房地产行政主管部门责令限期改</w:t>
            </w:r>
            <w:r>
              <w:rPr>
                <w:spacing w:val="-13"/>
                <w:sz w:val="24"/>
              </w:rPr>
              <w:t xml:space="preserve">正，给予警告，可以并处 </w:t>
            </w:r>
            <w:r>
              <w:rPr>
                <w:sz w:val="24"/>
              </w:rPr>
              <w:t>10</w:t>
            </w:r>
            <w:r>
              <w:rPr>
                <w:spacing w:val="-8"/>
                <w:sz w:val="24"/>
              </w:rPr>
              <w:t xml:space="preserve"> 万元以下的罚款。</w:t>
            </w:r>
          </w:p>
        </w:tc>
        <w:tc>
          <w:tcPr>
            <w:tcW w:w="1340" w:type="dxa"/>
          </w:tcPr>
          <w:p>
            <w:pPr>
              <w:pStyle w:val="10"/>
              <w:rPr>
                <w:rFonts w:ascii="PMingLiU"/>
                <w:sz w:val="24"/>
              </w:rPr>
            </w:pPr>
          </w:p>
          <w:p>
            <w:pPr>
              <w:pStyle w:val="10"/>
              <w:spacing w:before="11"/>
              <w:rPr>
                <w:rFonts w:ascii="PMingLiU"/>
                <w:sz w:val="29"/>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5" w:type="dxa"/>
          </w:tcPr>
          <w:p>
            <w:pPr>
              <w:pStyle w:val="10"/>
              <w:rPr>
                <w:rFonts w:ascii="PMingLiU"/>
                <w:sz w:val="32"/>
              </w:rPr>
            </w:pPr>
          </w:p>
          <w:p>
            <w:pPr>
              <w:pStyle w:val="10"/>
              <w:spacing w:before="11"/>
              <w:rPr>
                <w:rFonts w:ascii="PMingLiU"/>
                <w:sz w:val="24"/>
              </w:rPr>
            </w:pPr>
          </w:p>
          <w:p>
            <w:pPr>
              <w:pStyle w:val="10"/>
              <w:spacing w:before="1"/>
              <w:ind w:right="302"/>
              <w:jc w:val="right"/>
              <w:rPr>
                <w:rFonts w:ascii="黑体"/>
                <w:sz w:val="32"/>
              </w:rPr>
            </w:pPr>
            <w:r>
              <w:rPr>
                <w:rFonts w:ascii="黑体"/>
                <w:w w:val="99"/>
                <w:sz w:val="32"/>
              </w:rPr>
              <w:t>4</w:t>
            </w:r>
          </w:p>
        </w:tc>
        <w:tc>
          <w:tcPr>
            <w:tcW w:w="1949" w:type="dxa"/>
          </w:tcPr>
          <w:p>
            <w:pPr>
              <w:pStyle w:val="10"/>
              <w:spacing w:before="80" w:line="312" w:lineRule="auto"/>
              <w:ind w:left="106" w:right="95"/>
              <w:jc w:val="both"/>
              <w:rPr>
                <w:sz w:val="24"/>
              </w:rPr>
            </w:pPr>
            <w:r>
              <w:rPr>
                <w:spacing w:val="-2"/>
                <w:sz w:val="24"/>
              </w:rPr>
              <w:t>建设单位（开发商）将未按规定交存首期住宅专项维修资金的房</w:t>
            </w:r>
          </w:p>
          <w:p>
            <w:pPr>
              <w:pStyle w:val="10"/>
              <w:spacing w:before="2" w:line="299" w:lineRule="exact"/>
              <w:ind w:left="106"/>
              <w:rPr>
                <w:sz w:val="24"/>
              </w:rPr>
            </w:pPr>
            <w:r>
              <w:rPr>
                <w:spacing w:val="-2"/>
                <w:sz w:val="24"/>
              </w:rPr>
              <w:t>屋予以交付</w:t>
            </w:r>
          </w:p>
        </w:tc>
        <w:tc>
          <w:tcPr>
            <w:tcW w:w="4917" w:type="dxa"/>
          </w:tcPr>
          <w:p>
            <w:pPr>
              <w:pStyle w:val="10"/>
              <w:spacing w:before="2"/>
              <w:rPr>
                <w:rFonts w:ascii="PMingLiU"/>
                <w:sz w:val="20"/>
              </w:rPr>
            </w:pPr>
          </w:p>
          <w:p>
            <w:pPr>
              <w:pStyle w:val="10"/>
              <w:spacing w:line="312" w:lineRule="auto"/>
              <w:ind w:left="108" w:right="-15"/>
              <w:rPr>
                <w:sz w:val="24"/>
              </w:rPr>
            </w:pPr>
            <w:r>
              <w:rPr>
                <w:spacing w:val="-7"/>
                <w:sz w:val="24"/>
              </w:rPr>
              <w:t>《住宅专项维修资金管理办法》第十三条：未按本办法规定交存首期住宅专项维修资金的，</w:t>
            </w:r>
            <w:r>
              <w:rPr>
                <w:spacing w:val="6"/>
                <w:sz w:val="24"/>
              </w:rPr>
              <w:t>开发建设单位或者公有住房售房单位不得将房屋交付购买人。</w:t>
            </w:r>
          </w:p>
        </w:tc>
        <w:tc>
          <w:tcPr>
            <w:tcW w:w="4954" w:type="dxa"/>
          </w:tcPr>
          <w:p>
            <w:pPr>
              <w:pStyle w:val="10"/>
              <w:spacing w:before="12"/>
              <w:rPr>
                <w:rFonts w:ascii="PMingLiU"/>
                <w:sz w:val="15"/>
              </w:rPr>
            </w:pPr>
          </w:p>
          <w:p>
            <w:pPr>
              <w:pStyle w:val="10"/>
              <w:spacing w:line="242" w:lineRule="auto"/>
              <w:ind w:left="106" w:right="95"/>
              <w:jc w:val="both"/>
              <w:rPr>
                <w:sz w:val="24"/>
              </w:rPr>
            </w:pPr>
            <w:r>
              <w:rPr>
                <w:spacing w:val="-7"/>
                <w:sz w:val="24"/>
              </w:rPr>
              <w:t>《住宅专项维修资金管理办法》第三十六条第</w:t>
            </w:r>
            <w:r>
              <w:rPr>
                <w:spacing w:val="-10"/>
                <w:sz w:val="24"/>
              </w:rPr>
              <w:t>一款：开发建设单位违反本办法第十三条规定</w:t>
            </w:r>
            <w:r>
              <w:rPr>
                <w:spacing w:val="-9"/>
                <w:sz w:val="24"/>
              </w:rPr>
              <w:t>将房屋交付买受人的，由县级以上地方人民政</w:t>
            </w:r>
            <w:r>
              <w:rPr>
                <w:spacing w:val="-4"/>
                <w:sz w:val="24"/>
              </w:rPr>
              <w:t>府建设（房地产）主管部门责令限期改正；逾</w:t>
            </w:r>
            <w:r>
              <w:rPr>
                <w:spacing w:val="-3"/>
                <w:sz w:val="24"/>
              </w:rPr>
              <w:t xml:space="preserve">期不改正的，处以 </w:t>
            </w:r>
            <w:r>
              <w:rPr>
                <w:sz w:val="24"/>
              </w:rPr>
              <w:t>3</w:t>
            </w:r>
            <w:r>
              <w:rPr>
                <w:spacing w:val="-5"/>
                <w:sz w:val="24"/>
              </w:rPr>
              <w:t xml:space="preserve"> 万元以下的罚款。</w:t>
            </w:r>
          </w:p>
        </w:tc>
        <w:tc>
          <w:tcPr>
            <w:tcW w:w="1340" w:type="dxa"/>
          </w:tcPr>
          <w:p>
            <w:pPr>
              <w:pStyle w:val="10"/>
              <w:spacing w:before="80" w:line="312" w:lineRule="auto"/>
              <w:ind w:left="106" w:right="98"/>
              <w:jc w:val="both"/>
              <w:rPr>
                <w:sz w:val="24"/>
              </w:rPr>
            </w:pPr>
            <w:r>
              <w:rPr>
                <w:spacing w:val="36"/>
                <w:sz w:val="24"/>
              </w:rPr>
              <w:t>县级以上地方人民政府房地</w:t>
            </w:r>
            <w:r>
              <w:rPr>
                <w:spacing w:val="37"/>
                <w:sz w:val="24"/>
              </w:rPr>
              <w:t>产行政主</w:t>
            </w:r>
          </w:p>
          <w:p>
            <w:pPr>
              <w:pStyle w:val="10"/>
              <w:spacing w:before="2" w:line="299" w:lineRule="exact"/>
              <w:ind w:left="106"/>
              <w:rPr>
                <w:sz w:val="24"/>
              </w:rPr>
            </w:pP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trPr>
        <w:tc>
          <w:tcPr>
            <w:tcW w:w="785" w:type="dxa"/>
          </w:tcPr>
          <w:p>
            <w:pPr>
              <w:pStyle w:val="10"/>
              <w:rPr>
                <w:rFonts w:ascii="PMingLiU"/>
                <w:sz w:val="32"/>
              </w:rPr>
            </w:pPr>
          </w:p>
          <w:p>
            <w:pPr>
              <w:pStyle w:val="10"/>
              <w:rPr>
                <w:rFonts w:ascii="PMingLiU"/>
                <w:sz w:val="32"/>
              </w:rPr>
            </w:pPr>
          </w:p>
          <w:p>
            <w:pPr>
              <w:pStyle w:val="10"/>
              <w:spacing w:before="3"/>
              <w:rPr>
                <w:rFonts w:ascii="PMingLiU"/>
                <w:sz w:val="27"/>
              </w:rPr>
            </w:pPr>
          </w:p>
          <w:p>
            <w:pPr>
              <w:pStyle w:val="10"/>
              <w:ind w:right="302"/>
              <w:jc w:val="right"/>
              <w:rPr>
                <w:rFonts w:ascii="黑体"/>
                <w:sz w:val="32"/>
              </w:rPr>
            </w:pPr>
            <w:r>
              <w:rPr>
                <w:rFonts w:ascii="黑体"/>
                <w:w w:val="99"/>
                <w:sz w:val="32"/>
              </w:rPr>
              <w:t>5</w:t>
            </w:r>
          </w:p>
        </w:tc>
        <w:tc>
          <w:tcPr>
            <w:tcW w:w="1949" w:type="dxa"/>
          </w:tcPr>
          <w:p>
            <w:pPr>
              <w:pStyle w:val="10"/>
              <w:spacing w:before="161" w:line="312" w:lineRule="auto"/>
              <w:ind w:left="106" w:right="97"/>
              <w:jc w:val="both"/>
              <w:rPr>
                <w:sz w:val="24"/>
              </w:rPr>
            </w:pPr>
            <w:r>
              <w:rPr>
                <w:spacing w:val="-2"/>
                <w:sz w:val="24"/>
              </w:rPr>
              <w:t>建设单位（开发商）未按规定分摊共用部位、共用设施设备维修和更新、改造维修、更新和改造</w:t>
            </w:r>
          </w:p>
          <w:p>
            <w:pPr>
              <w:pStyle w:val="10"/>
              <w:spacing w:before="1"/>
              <w:ind w:left="106"/>
              <w:rPr>
                <w:sz w:val="24"/>
              </w:rPr>
            </w:pPr>
            <w:r>
              <w:rPr>
                <w:spacing w:val="-5"/>
                <w:sz w:val="24"/>
              </w:rPr>
              <w:t>费用</w:t>
            </w:r>
          </w:p>
        </w:tc>
        <w:tc>
          <w:tcPr>
            <w:tcW w:w="4917" w:type="dxa"/>
          </w:tcPr>
          <w:p>
            <w:pPr>
              <w:pStyle w:val="10"/>
              <w:spacing w:before="12"/>
              <w:rPr>
                <w:rFonts w:ascii="PMingLiU"/>
                <w:sz w:val="25"/>
              </w:rPr>
            </w:pPr>
          </w:p>
          <w:p>
            <w:pPr>
              <w:pStyle w:val="10"/>
              <w:spacing w:before="1" w:line="312" w:lineRule="auto"/>
              <w:ind w:left="108" w:right="-15"/>
              <w:rPr>
                <w:sz w:val="24"/>
              </w:rPr>
            </w:pPr>
            <w:r>
              <w:rPr>
                <w:sz w:val="24"/>
              </w:rPr>
              <w:t>《住宅专项维修资金管理办法》第二十一条：</w:t>
            </w:r>
            <w:r>
              <w:rPr>
                <w:spacing w:val="-10"/>
                <w:sz w:val="24"/>
              </w:rPr>
              <w:t>住宅共用部位、共用设施设备维修和更新、改</w:t>
            </w:r>
            <w:r>
              <w:rPr>
                <w:spacing w:val="-12"/>
                <w:sz w:val="24"/>
              </w:rPr>
              <w:t>造，涉及尚未售出的商品住宅、非住宅或者公</w:t>
            </w:r>
            <w:r>
              <w:rPr>
                <w:spacing w:val="-13"/>
                <w:sz w:val="24"/>
              </w:rPr>
              <w:t>有住房的，开发建设单位或者公有住房单位应</w:t>
            </w:r>
            <w:r>
              <w:rPr>
                <w:spacing w:val="6"/>
                <w:sz w:val="24"/>
              </w:rPr>
              <w:t>当按照尚未售出商品住宅或者公有住房的建筑面积，分摊维修和更新、改造费用。</w:t>
            </w:r>
          </w:p>
        </w:tc>
        <w:tc>
          <w:tcPr>
            <w:tcW w:w="4954" w:type="dxa"/>
          </w:tcPr>
          <w:p>
            <w:pPr>
              <w:pStyle w:val="10"/>
              <w:rPr>
                <w:rFonts w:ascii="PMingLiU"/>
                <w:sz w:val="24"/>
              </w:rPr>
            </w:pPr>
          </w:p>
          <w:p>
            <w:pPr>
              <w:pStyle w:val="10"/>
              <w:spacing w:before="5"/>
              <w:rPr>
                <w:rFonts w:ascii="PMingLiU"/>
                <w:sz w:val="30"/>
              </w:rPr>
            </w:pPr>
          </w:p>
          <w:p>
            <w:pPr>
              <w:pStyle w:val="10"/>
              <w:spacing w:before="1" w:line="312" w:lineRule="auto"/>
              <w:ind w:left="106" w:right="97"/>
              <w:jc w:val="both"/>
              <w:rPr>
                <w:sz w:val="24"/>
              </w:rPr>
            </w:pPr>
            <w:r>
              <w:rPr>
                <w:spacing w:val="-7"/>
                <w:sz w:val="24"/>
              </w:rPr>
              <w:t>《住宅专项维修资金管理办法》第三十六条第</w:t>
            </w:r>
            <w:r>
              <w:rPr>
                <w:spacing w:val="-10"/>
                <w:sz w:val="24"/>
              </w:rPr>
              <w:t>二款：开发建设单位未按本办法第二十一条规</w:t>
            </w:r>
            <w:r>
              <w:rPr>
                <w:spacing w:val="-4"/>
                <w:sz w:val="24"/>
              </w:rPr>
              <w:t>定分摊维修、更新和改造费用的，同第三十六</w:t>
            </w:r>
            <w:r>
              <w:rPr>
                <w:spacing w:val="-3"/>
                <w:sz w:val="24"/>
              </w:rPr>
              <w:t xml:space="preserve">条第一款，处以 </w:t>
            </w:r>
            <w:r>
              <w:rPr>
                <w:sz w:val="24"/>
              </w:rPr>
              <w:t>1</w:t>
            </w:r>
            <w:r>
              <w:rPr>
                <w:spacing w:val="-5"/>
                <w:sz w:val="24"/>
              </w:rPr>
              <w:t xml:space="preserve"> 万元以下的罚款。</w:t>
            </w:r>
          </w:p>
        </w:tc>
        <w:tc>
          <w:tcPr>
            <w:tcW w:w="1340" w:type="dxa"/>
          </w:tcPr>
          <w:p>
            <w:pPr>
              <w:pStyle w:val="10"/>
              <w:rPr>
                <w:rFonts w:ascii="PMingLiU"/>
                <w:sz w:val="24"/>
              </w:rPr>
            </w:pPr>
          </w:p>
          <w:p>
            <w:pPr>
              <w:pStyle w:val="10"/>
              <w:spacing w:before="2"/>
              <w:rPr>
                <w:rFonts w:ascii="PMingLiU"/>
                <w:sz w:val="16"/>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0" w:hRule="atLeast"/>
        </w:trPr>
        <w:tc>
          <w:tcPr>
            <w:tcW w:w="785" w:type="dxa"/>
          </w:tcPr>
          <w:p>
            <w:pPr>
              <w:pStyle w:val="10"/>
              <w:rPr>
                <w:rFonts w:ascii="PMingLiU"/>
                <w:sz w:val="32"/>
              </w:rPr>
            </w:pPr>
          </w:p>
          <w:p>
            <w:pPr>
              <w:pStyle w:val="10"/>
              <w:rPr>
                <w:rFonts w:ascii="PMingLiU"/>
                <w:sz w:val="32"/>
              </w:rPr>
            </w:pPr>
          </w:p>
          <w:p>
            <w:pPr>
              <w:pStyle w:val="10"/>
              <w:spacing w:before="10"/>
              <w:rPr>
                <w:rFonts w:ascii="PMingLiU"/>
                <w:sz w:val="30"/>
              </w:rPr>
            </w:pPr>
          </w:p>
          <w:p>
            <w:pPr>
              <w:pStyle w:val="10"/>
              <w:ind w:right="302"/>
              <w:jc w:val="right"/>
              <w:rPr>
                <w:rFonts w:ascii="黑体"/>
                <w:sz w:val="32"/>
              </w:rPr>
            </w:pPr>
            <w:r>
              <w:rPr>
                <w:rFonts w:ascii="黑体"/>
                <w:w w:val="99"/>
                <w:sz w:val="32"/>
              </w:rPr>
              <w:t>6</w:t>
            </w:r>
          </w:p>
        </w:tc>
        <w:tc>
          <w:tcPr>
            <w:tcW w:w="1949" w:type="dxa"/>
          </w:tcPr>
          <w:p>
            <w:pPr>
              <w:pStyle w:val="10"/>
              <w:rPr>
                <w:rFonts w:ascii="PMingLiU"/>
                <w:sz w:val="24"/>
              </w:rPr>
            </w:pPr>
          </w:p>
          <w:p>
            <w:pPr>
              <w:pStyle w:val="10"/>
              <w:rPr>
                <w:rFonts w:ascii="PMingLiU"/>
                <w:sz w:val="24"/>
              </w:rPr>
            </w:pPr>
          </w:p>
          <w:p>
            <w:pPr>
              <w:pStyle w:val="10"/>
              <w:spacing w:before="4"/>
              <w:rPr>
                <w:rFonts w:ascii="PMingLiU"/>
                <w:sz w:val="24"/>
              </w:rPr>
            </w:pPr>
          </w:p>
          <w:p>
            <w:pPr>
              <w:pStyle w:val="10"/>
              <w:spacing w:line="312" w:lineRule="auto"/>
              <w:ind w:left="106" w:right="97"/>
              <w:jc w:val="both"/>
              <w:rPr>
                <w:sz w:val="24"/>
              </w:rPr>
            </w:pPr>
            <w:r>
              <w:rPr>
                <w:spacing w:val="-2"/>
                <w:sz w:val="24"/>
              </w:rPr>
              <w:t>物业服务企业将全部物业管理业务分包给他人</w:t>
            </w:r>
          </w:p>
        </w:tc>
        <w:tc>
          <w:tcPr>
            <w:tcW w:w="4917" w:type="dxa"/>
          </w:tcPr>
          <w:p>
            <w:pPr>
              <w:pStyle w:val="10"/>
              <w:rPr>
                <w:rFonts w:ascii="PMingLiU"/>
                <w:sz w:val="24"/>
              </w:rPr>
            </w:pPr>
          </w:p>
          <w:p>
            <w:pPr>
              <w:pStyle w:val="10"/>
              <w:spacing w:before="1"/>
              <w:rPr>
                <w:rFonts w:ascii="PMingLiU"/>
                <w:sz w:val="34"/>
              </w:rPr>
            </w:pPr>
          </w:p>
          <w:p>
            <w:pPr>
              <w:pStyle w:val="10"/>
              <w:spacing w:line="312" w:lineRule="auto"/>
              <w:ind w:left="108" w:right="94"/>
              <w:jc w:val="both"/>
              <w:rPr>
                <w:sz w:val="24"/>
              </w:rPr>
            </w:pPr>
            <w:r>
              <w:rPr>
                <w:spacing w:val="-12"/>
                <w:sz w:val="24"/>
              </w:rPr>
              <w:t>《物业管理条例》第三十九条：物业服务企业</w:t>
            </w:r>
            <w:r>
              <w:rPr>
                <w:spacing w:val="-2"/>
                <w:sz w:val="24"/>
              </w:rPr>
              <w:t>可以将物业管理区域内的专项服务业务委托</w:t>
            </w:r>
            <w:r>
              <w:rPr>
                <w:spacing w:val="-12"/>
                <w:sz w:val="24"/>
              </w:rPr>
              <w:t>给专业性服务企业，但不得将该区域内的全部</w:t>
            </w:r>
            <w:r>
              <w:rPr>
                <w:spacing w:val="-2"/>
                <w:sz w:val="24"/>
              </w:rPr>
              <w:t>物业管理一并委托给他人。</w:t>
            </w:r>
          </w:p>
        </w:tc>
        <w:tc>
          <w:tcPr>
            <w:tcW w:w="4954" w:type="dxa"/>
          </w:tcPr>
          <w:p>
            <w:pPr>
              <w:pStyle w:val="10"/>
              <w:spacing w:before="32" w:line="266" w:lineRule="auto"/>
              <w:ind w:left="106" w:right="97"/>
              <w:jc w:val="both"/>
              <w:rPr>
                <w:sz w:val="24"/>
              </w:rPr>
            </w:pPr>
            <w:r>
              <w:rPr>
                <w:spacing w:val="-4"/>
                <w:sz w:val="24"/>
              </w:rPr>
              <w:t>《物业管理条例》第五十九条：违反本条例的</w:t>
            </w:r>
            <w:r>
              <w:rPr>
                <w:spacing w:val="-10"/>
                <w:sz w:val="24"/>
              </w:rPr>
              <w:t>规定，物业服务企业将一个物业管理区域内的</w:t>
            </w:r>
            <w:r>
              <w:rPr>
                <w:spacing w:val="-7"/>
                <w:sz w:val="24"/>
              </w:rPr>
              <w:t>全部物业管理一并委托给他人的，由县级以上</w:t>
            </w:r>
            <w:r>
              <w:rPr>
                <w:sz w:val="24"/>
              </w:rPr>
              <w:t>地方人民政府房地产行政主管部门责令限期</w:t>
            </w:r>
            <w:r>
              <w:rPr>
                <w:w w:val="95"/>
                <w:sz w:val="24"/>
              </w:rPr>
              <w:t>改正，处委托合同价款 30%以上 50%以下的罚</w:t>
            </w:r>
            <w:r>
              <w:rPr>
                <w:spacing w:val="-4"/>
                <w:sz w:val="24"/>
              </w:rPr>
              <w:t>款。委托所得收益，用于物业管理区域内物业共用部位、共用设施设备的维修、养护，剩余</w:t>
            </w:r>
            <w:r>
              <w:rPr>
                <w:spacing w:val="-6"/>
                <w:sz w:val="24"/>
              </w:rPr>
              <w:t>部分按照业主大会的决定使用；给业主造成损</w:t>
            </w:r>
          </w:p>
          <w:p>
            <w:pPr>
              <w:pStyle w:val="10"/>
              <w:spacing w:line="277" w:lineRule="exact"/>
              <w:ind w:left="106"/>
              <w:rPr>
                <w:sz w:val="24"/>
              </w:rPr>
            </w:pPr>
            <w:r>
              <w:rPr>
                <w:spacing w:val="-1"/>
                <w:sz w:val="24"/>
              </w:rPr>
              <w:t>失的，依法承担赔偿责任。</w:t>
            </w:r>
          </w:p>
        </w:tc>
        <w:tc>
          <w:tcPr>
            <w:tcW w:w="1340" w:type="dxa"/>
          </w:tcPr>
          <w:p>
            <w:pPr>
              <w:pStyle w:val="10"/>
              <w:rPr>
                <w:rFonts w:ascii="PMingLiU"/>
                <w:sz w:val="24"/>
              </w:rPr>
            </w:pPr>
          </w:p>
          <w:p>
            <w:pPr>
              <w:pStyle w:val="10"/>
              <w:spacing w:before="9"/>
              <w:rPr>
                <w:rFonts w:ascii="PMingLiU"/>
                <w:sz w:val="19"/>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trPr>
        <w:tc>
          <w:tcPr>
            <w:tcW w:w="785"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right="302"/>
              <w:jc w:val="right"/>
              <w:rPr>
                <w:rFonts w:ascii="黑体"/>
                <w:sz w:val="32"/>
              </w:rPr>
            </w:pPr>
            <w:r>
              <w:rPr>
                <w:rFonts w:ascii="黑体"/>
                <w:w w:val="99"/>
                <w:sz w:val="32"/>
              </w:rPr>
              <w:t>7</w:t>
            </w:r>
          </w:p>
        </w:tc>
        <w:tc>
          <w:tcPr>
            <w:tcW w:w="1949"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line="312" w:lineRule="auto"/>
              <w:ind w:left="106" w:right="97"/>
              <w:rPr>
                <w:sz w:val="24"/>
              </w:rPr>
            </w:pPr>
            <w:r>
              <w:rPr>
                <w:spacing w:val="-2"/>
                <w:sz w:val="24"/>
              </w:rPr>
              <w:t>挪用专项维修资</w:t>
            </w:r>
            <w:r>
              <w:rPr>
                <w:spacing w:val="-10"/>
                <w:sz w:val="24"/>
              </w:rPr>
              <w:t>金</w:t>
            </w:r>
          </w:p>
        </w:tc>
        <w:tc>
          <w:tcPr>
            <w:tcW w:w="4917" w:type="dxa"/>
          </w:tcPr>
          <w:p>
            <w:pPr>
              <w:pStyle w:val="10"/>
              <w:spacing w:before="72" w:line="266" w:lineRule="auto"/>
              <w:ind w:left="108" w:right="94"/>
              <w:jc w:val="both"/>
              <w:rPr>
                <w:sz w:val="24"/>
              </w:rPr>
            </w:pPr>
            <w:r>
              <w:rPr>
                <w:spacing w:val="-10"/>
                <w:sz w:val="24"/>
              </w:rPr>
              <w:t>《物业管理条例》第五十三条第二款规定，专</w:t>
            </w:r>
            <w:r>
              <w:rPr>
                <w:spacing w:val="-11"/>
                <w:sz w:val="24"/>
              </w:rPr>
              <w:t>项维修资金属于业主所有，专项用于物业保修</w:t>
            </w:r>
            <w:r>
              <w:rPr>
                <w:spacing w:val="-12"/>
                <w:sz w:val="24"/>
              </w:rPr>
              <w:t>期满后物业共用部位、共用设施设备的维修和</w:t>
            </w:r>
            <w:r>
              <w:rPr>
                <w:spacing w:val="-2"/>
                <w:sz w:val="24"/>
              </w:rPr>
              <w:t>更新、改造，不得挪作他用。</w:t>
            </w:r>
          </w:p>
          <w:p>
            <w:pPr>
              <w:pStyle w:val="10"/>
              <w:spacing w:line="264" w:lineRule="auto"/>
              <w:ind w:left="108" w:right="94"/>
              <w:jc w:val="both"/>
              <w:rPr>
                <w:sz w:val="24"/>
              </w:rPr>
            </w:pPr>
            <w:r>
              <w:rPr>
                <w:spacing w:val="-2"/>
                <w:sz w:val="24"/>
              </w:rPr>
              <w:t>《住宅专项维修资金管理办法》第十八条规</w:t>
            </w:r>
            <w:r>
              <w:rPr>
                <w:spacing w:val="-13"/>
                <w:sz w:val="24"/>
              </w:rPr>
              <w:t>定，住宅专项维修资金应当专项用于住宅共用</w:t>
            </w:r>
            <w:r>
              <w:rPr>
                <w:spacing w:val="-1"/>
                <w:sz w:val="24"/>
              </w:rPr>
              <w:t>部位、共用设施设备保修期满后的维修和更</w:t>
            </w:r>
          </w:p>
          <w:p>
            <w:pPr>
              <w:pStyle w:val="10"/>
              <w:spacing w:before="1"/>
              <w:ind w:left="108"/>
              <w:rPr>
                <w:sz w:val="24"/>
              </w:rPr>
            </w:pPr>
            <w:r>
              <w:rPr>
                <w:spacing w:val="-1"/>
                <w:sz w:val="24"/>
              </w:rPr>
              <w:t>新、改造，不得挪作他用。</w:t>
            </w:r>
          </w:p>
        </w:tc>
        <w:tc>
          <w:tcPr>
            <w:tcW w:w="4954" w:type="dxa"/>
          </w:tcPr>
          <w:p>
            <w:pPr>
              <w:pStyle w:val="10"/>
              <w:spacing w:before="82" w:line="312" w:lineRule="auto"/>
              <w:ind w:left="106" w:right="97"/>
              <w:jc w:val="both"/>
              <w:rPr>
                <w:sz w:val="24"/>
              </w:rPr>
            </w:pPr>
            <w:r>
              <w:rPr>
                <w:spacing w:val="-4"/>
                <w:sz w:val="24"/>
              </w:rPr>
              <w:t>《物业管理条例》第六十条：违反本条例的规定，挪用专项维修资金的，由县级以上地方人</w:t>
            </w:r>
            <w:r>
              <w:rPr>
                <w:sz w:val="24"/>
              </w:rPr>
              <w:t>民政府房地产行政主管部门追回挪用的专项</w:t>
            </w:r>
            <w:r>
              <w:rPr>
                <w:spacing w:val="-4"/>
                <w:sz w:val="24"/>
              </w:rPr>
              <w:t>维修资金，给予警告，没收违法所得，可以并</w:t>
            </w:r>
            <w:r>
              <w:rPr>
                <w:w w:val="95"/>
                <w:sz w:val="24"/>
              </w:rPr>
              <w:t>处挪用数额 2 倍以下的罚款；构成犯罪的，依</w:t>
            </w:r>
            <w:r>
              <w:rPr>
                <w:spacing w:val="-1"/>
                <w:sz w:val="24"/>
              </w:rPr>
              <w:t>法追究直接负责的主管人员和其他直接责任</w:t>
            </w:r>
          </w:p>
          <w:p>
            <w:pPr>
              <w:pStyle w:val="10"/>
              <w:spacing w:before="1" w:line="298" w:lineRule="exact"/>
              <w:ind w:left="106"/>
              <w:rPr>
                <w:sz w:val="24"/>
              </w:rPr>
            </w:pPr>
            <w:r>
              <w:rPr>
                <w:spacing w:val="-2"/>
                <w:sz w:val="24"/>
              </w:rPr>
              <w:t>人员的刑事责任。</w:t>
            </w:r>
          </w:p>
        </w:tc>
        <w:tc>
          <w:tcPr>
            <w:tcW w:w="1340" w:type="dxa"/>
          </w:tcPr>
          <w:p>
            <w:pPr>
              <w:pStyle w:val="10"/>
              <w:spacing w:before="5"/>
              <w:rPr>
                <w:rFonts w:ascii="PMingLiU"/>
                <w:sz w:val="34"/>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7" w:hRule="atLeast"/>
        </w:trPr>
        <w:tc>
          <w:tcPr>
            <w:tcW w:w="785" w:type="dxa"/>
          </w:tcPr>
          <w:p>
            <w:pPr>
              <w:pStyle w:val="10"/>
              <w:rPr>
                <w:rFonts w:ascii="PMingLiU"/>
                <w:sz w:val="32"/>
              </w:rPr>
            </w:pPr>
          </w:p>
          <w:p>
            <w:pPr>
              <w:pStyle w:val="10"/>
              <w:rPr>
                <w:rFonts w:ascii="PMingLiU"/>
                <w:sz w:val="32"/>
              </w:rPr>
            </w:pPr>
          </w:p>
          <w:p>
            <w:pPr>
              <w:pStyle w:val="10"/>
              <w:spacing w:before="262"/>
              <w:ind w:right="302"/>
              <w:jc w:val="right"/>
              <w:rPr>
                <w:rFonts w:ascii="黑体"/>
                <w:sz w:val="32"/>
              </w:rPr>
            </w:pPr>
            <w:r>
              <w:rPr>
                <w:rFonts w:ascii="黑体"/>
                <w:w w:val="99"/>
                <w:sz w:val="32"/>
              </w:rPr>
              <w:t>8</w:t>
            </w:r>
          </w:p>
        </w:tc>
        <w:tc>
          <w:tcPr>
            <w:tcW w:w="1949" w:type="dxa"/>
          </w:tcPr>
          <w:p>
            <w:pPr>
              <w:pStyle w:val="10"/>
              <w:rPr>
                <w:rFonts w:ascii="PMingLiU"/>
                <w:sz w:val="24"/>
              </w:rPr>
            </w:pPr>
          </w:p>
          <w:p>
            <w:pPr>
              <w:pStyle w:val="10"/>
              <w:rPr>
                <w:rFonts w:ascii="PMingLiU"/>
                <w:sz w:val="24"/>
              </w:rPr>
            </w:pPr>
          </w:p>
          <w:p>
            <w:pPr>
              <w:pStyle w:val="10"/>
              <w:spacing w:before="5"/>
              <w:rPr>
                <w:rFonts w:ascii="PMingLiU"/>
                <w:sz w:val="26"/>
              </w:rPr>
            </w:pPr>
          </w:p>
          <w:p>
            <w:pPr>
              <w:pStyle w:val="10"/>
              <w:spacing w:line="312" w:lineRule="auto"/>
              <w:ind w:left="106" w:right="97"/>
              <w:rPr>
                <w:sz w:val="24"/>
              </w:rPr>
            </w:pPr>
            <w:r>
              <w:rPr>
                <w:spacing w:val="-2"/>
                <w:sz w:val="24"/>
              </w:rPr>
              <w:t>擅自改变物业管理用房的用途</w:t>
            </w:r>
          </w:p>
        </w:tc>
        <w:tc>
          <w:tcPr>
            <w:tcW w:w="4917" w:type="dxa"/>
          </w:tcPr>
          <w:p>
            <w:pPr>
              <w:pStyle w:val="10"/>
              <w:rPr>
                <w:rFonts w:ascii="PMingLiU"/>
                <w:sz w:val="24"/>
              </w:rPr>
            </w:pPr>
          </w:p>
          <w:p>
            <w:pPr>
              <w:pStyle w:val="10"/>
              <w:rPr>
                <w:rFonts w:ascii="PMingLiU"/>
                <w:sz w:val="24"/>
              </w:rPr>
            </w:pPr>
          </w:p>
          <w:p>
            <w:pPr>
              <w:pStyle w:val="10"/>
              <w:spacing w:before="169" w:line="312" w:lineRule="auto"/>
              <w:ind w:left="108" w:right="-15"/>
              <w:rPr>
                <w:sz w:val="24"/>
              </w:rPr>
            </w:pPr>
            <w:r>
              <w:rPr>
                <w:spacing w:val="-12"/>
                <w:sz w:val="24"/>
              </w:rPr>
              <w:t>《物业管理条例》第三十七条：物业管理用房</w:t>
            </w:r>
            <w:r>
              <w:rPr>
                <w:spacing w:val="-2"/>
                <w:sz w:val="24"/>
              </w:rPr>
              <w:t>的所有权依法属于业主。未经业主大会同意，</w:t>
            </w:r>
            <w:r>
              <w:rPr>
                <w:spacing w:val="-1"/>
                <w:sz w:val="24"/>
              </w:rPr>
              <w:t>物业服务企业不得改变物业管理用房的用途。</w:t>
            </w:r>
          </w:p>
        </w:tc>
        <w:tc>
          <w:tcPr>
            <w:tcW w:w="4954" w:type="dxa"/>
          </w:tcPr>
          <w:p>
            <w:pPr>
              <w:pStyle w:val="10"/>
              <w:spacing w:before="32" w:line="266" w:lineRule="auto"/>
              <w:ind w:left="106" w:right="35"/>
              <w:jc w:val="both"/>
              <w:rPr>
                <w:sz w:val="24"/>
              </w:rPr>
            </w:pPr>
            <w:r>
              <w:rPr>
                <w:spacing w:val="-2"/>
                <w:sz w:val="24"/>
              </w:rPr>
              <w:t>《物业管理条例》第六十二条：违反本条例的规定，未经业主大会同意，物业服务企业擅自</w:t>
            </w:r>
            <w:r>
              <w:rPr>
                <w:spacing w:val="-7"/>
                <w:sz w:val="24"/>
              </w:rPr>
              <w:t>改变物业管理用房的用途的，由县级以上地方</w:t>
            </w:r>
            <w:r>
              <w:rPr>
                <w:spacing w:val="-2"/>
                <w:sz w:val="24"/>
              </w:rPr>
              <w:t>人民政府房地产行政主管部门责令限期改正，</w:t>
            </w:r>
            <w:r>
              <w:rPr>
                <w:w w:val="95"/>
                <w:sz w:val="24"/>
              </w:rPr>
              <w:t>给予警告，并处 1 万元以上 10 万元以下的罚</w:t>
            </w:r>
            <w:r>
              <w:rPr>
                <w:spacing w:val="-2"/>
                <w:sz w:val="24"/>
              </w:rPr>
              <w:t>款；有收益的，所得收益用于物业管理区域内物业共用部位、共用设施设备的维修、养护，</w:t>
            </w:r>
          </w:p>
          <w:p>
            <w:pPr>
              <w:pStyle w:val="10"/>
              <w:spacing w:line="277" w:lineRule="exact"/>
              <w:ind w:left="106"/>
              <w:rPr>
                <w:sz w:val="24"/>
              </w:rPr>
            </w:pPr>
            <w:r>
              <w:rPr>
                <w:spacing w:val="-1"/>
                <w:sz w:val="24"/>
              </w:rPr>
              <w:t>剩余部分按照业主大会的决定使用。</w:t>
            </w:r>
          </w:p>
        </w:tc>
        <w:tc>
          <w:tcPr>
            <w:tcW w:w="1340" w:type="dxa"/>
          </w:tcPr>
          <w:p>
            <w:pPr>
              <w:pStyle w:val="10"/>
              <w:spacing w:before="6"/>
              <w:rPr>
                <w:rFonts w:ascii="PMingLiU"/>
                <w:sz w:val="31"/>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0"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12"/>
              <w:rPr>
                <w:rFonts w:ascii="PMingLiU"/>
                <w:sz w:val="43"/>
              </w:rPr>
            </w:pPr>
          </w:p>
          <w:p>
            <w:pPr>
              <w:pStyle w:val="10"/>
              <w:ind w:left="6"/>
              <w:jc w:val="center"/>
              <w:rPr>
                <w:rFonts w:ascii="黑体"/>
                <w:sz w:val="32"/>
              </w:rPr>
            </w:pPr>
            <w:r>
              <w:rPr>
                <w:rFonts w:ascii="黑体"/>
                <w:w w:val="99"/>
                <w:sz w:val="32"/>
              </w:rPr>
              <w:t>9</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4"/>
              <w:rPr>
                <w:rFonts w:ascii="PMingLiU"/>
                <w:sz w:val="21"/>
              </w:rPr>
            </w:pPr>
          </w:p>
          <w:p>
            <w:pPr>
              <w:pStyle w:val="10"/>
              <w:spacing w:line="312" w:lineRule="auto"/>
              <w:ind w:left="106" w:right="97"/>
              <w:jc w:val="both"/>
              <w:rPr>
                <w:sz w:val="24"/>
              </w:rPr>
            </w:pPr>
            <w:r>
              <w:rPr>
                <w:spacing w:val="-2"/>
                <w:sz w:val="24"/>
              </w:rPr>
              <w:t>擅自改变小区公共建筑和共用设</w:t>
            </w:r>
            <w:r>
              <w:rPr>
                <w:spacing w:val="-4"/>
                <w:sz w:val="24"/>
              </w:rPr>
              <w:t>施的用途</w:t>
            </w:r>
          </w:p>
        </w:tc>
        <w:tc>
          <w:tcPr>
            <w:tcW w:w="4917"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4"/>
              <w:rPr>
                <w:rFonts w:ascii="PMingLiU"/>
                <w:sz w:val="21"/>
              </w:rPr>
            </w:pPr>
          </w:p>
          <w:p>
            <w:pPr>
              <w:pStyle w:val="10"/>
              <w:spacing w:line="312" w:lineRule="auto"/>
              <w:ind w:left="108" w:right="97"/>
              <w:jc w:val="both"/>
              <w:rPr>
                <w:sz w:val="24"/>
              </w:rPr>
            </w:pPr>
            <w:r>
              <w:rPr>
                <w:spacing w:val="-12"/>
                <w:sz w:val="24"/>
              </w:rPr>
              <w:t>《物业管理条例》第四十九条：物业管理区域</w:t>
            </w:r>
            <w:r>
              <w:rPr>
                <w:spacing w:val="-8"/>
                <w:sz w:val="24"/>
              </w:rPr>
              <w:t>内按照规划建设的公共建筑和共用设施，不得</w:t>
            </w:r>
            <w:r>
              <w:rPr>
                <w:spacing w:val="-2"/>
                <w:sz w:val="24"/>
              </w:rPr>
              <w:t>改变用途。</w:t>
            </w:r>
          </w:p>
        </w:tc>
        <w:tc>
          <w:tcPr>
            <w:tcW w:w="4954" w:type="dxa"/>
          </w:tcPr>
          <w:p>
            <w:pPr>
              <w:pStyle w:val="10"/>
              <w:spacing w:before="49" w:line="280" w:lineRule="auto"/>
              <w:ind w:left="106" w:right="35"/>
              <w:jc w:val="both"/>
              <w:rPr>
                <w:sz w:val="24"/>
              </w:rPr>
            </w:pPr>
            <w:r>
              <w:rPr>
                <w:spacing w:val="-2"/>
                <w:sz w:val="24"/>
              </w:rPr>
              <w:t>《物业管理条例》第六十三条第一款第（一）项：违反本条例的规定，有下列行为之一的，</w:t>
            </w:r>
            <w:r>
              <w:rPr>
                <w:sz w:val="24"/>
              </w:rPr>
              <w:t>由县级以上地方人民政府房地产行政主管部</w:t>
            </w:r>
            <w:r>
              <w:rPr>
                <w:spacing w:val="-2"/>
                <w:sz w:val="24"/>
              </w:rPr>
              <w:t>门责令限期改正，给予警告，并按照本条第二款的规定处以罚款；所得收益，用于物业管理区域内物业共用部位、共用设施设备的维修、养护，剩余部分按照业主大会的决定使用：</w:t>
            </w:r>
          </w:p>
          <w:p>
            <w:pPr>
              <w:pStyle w:val="10"/>
              <w:spacing w:before="1" w:line="280" w:lineRule="auto"/>
              <w:ind w:left="106" w:right="97"/>
              <w:rPr>
                <w:sz w:val="24"/>
              </w:rPr>
            </w:pPr>
            <w:r>
              <w:rPr>
                <w:spacing w:val="-2"/>
                <w:sz w:val="24"/>
              </w:rPr>
              <w:t>(一)擅自改变物业管理区域内按照规划建设的公共建筑和共用设施用途的。</w:t>
            </w:r>
          </w:p>
          <w:p>
            <w:pPr>
              <w:pStyle w:val="10"/>
              <w:spacing w:before="1"/>
              <w:ind w:left="106"/>
              <w:rPr>
                <w:sz w:val="24"/>
              </w:rPr>
            </w:pPr>
            <w:r>
              <w:rPr>
                <w:spacing w:val="-4"/>
                <w:sz w:val="24"/>
              </w:rPr>
              <w:t xml:space="preserve">个人有前款规定行为之一的，处 </w:t>
            </w:r>
            <w:r>
              <w:rPr>
                <w:sz w:val="24"/>
              </w:rPr>
              <w:t>1000</w:t>
            </w:r>
            <w:r>
              <w:rPr>
                <w:spacing w:val="-18"/>
                <w:sz w:val="24"/>
              </w:rPr>
              <w:t xml:space="preserve"> 元以上</w:t>
            </w:r>
          </w:p>
          <w:p>
            <w:pPr>
              <w:pStyle w:val="10"/>
              <w:spacing w:before="52"/>
              <w:ind w:left="106"/>
              <w:rPr>
                <w:sz w:val="24"/>
              </w:rPr>
            </w:pPr>
            <w:r>
              <w:rPr>
                <w:spacing w:val="-2"/>
                <w:sz w:val="24"/>
              </w:rPr>
              <w:t>1</w:t>
            </w:r>
            <w:r>
              <w:rPr>
                <w:spacing w:val="-8"/>
                <w:sz w:val="24"/>
              </w:rPr>
              <w:t xml:space="preserve"> 万元以下的罚款；单位有前款规定行为之一</w:t>
            </w:r>
          </w:p>
          <w:p>
            <w:pPr>
              <w:pStyle w:val="10"/>
              <w:spacing w:before="53" w:line="291" w:lineRule="exact"/>
              <w:ind w:left="106"/>
              <w:rPr>
                <w:sz w:val="24"/>
              </w:rPr>
            </w:pPr>
            <w:r>
              <w:rPr>
                <w:spacing w:val="-15"/>
                <w:sz w:val="24"/>
              </w:rPr>
              <w:t xml:space="preserve">的，处 </w:t>
            </w:r>
            <w:r>
              <w:rPr>
                <w:sz w:val="24"/>
              </w:rPr>
              <w:t>5</w:t>
            </w:r>
            <w:r>
              <w:rPr>
                <w:spacing w:val="-20"/>
                <w:sz w:val="24"/>
              </w:rPr>
              <w:t xml:space="preserve"> 万元以上 </w:t>
            </w:r>
            <w:r>
              <w:rPr>
                <w:sz w:val="24"/>
              </w:rPr>
              <w:t>20</w:t>
            </w:r>
            <w:r>
              <w:rPr>
                <w:spacing w:val="-9"/>
                <w:sz w:val="24"/>
              </w:rPr>
              <w:t xml:space="preserve"> 万元以下的罚款。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1"/>
              <w:rPr>
                <w:rFonts w:ascii="PMingLiU"/>
                <w:sz w:val="16"/>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8"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11"/>
              <w:rPr>
                <w:rFonts w:ascii="PMingLiU"/>
                <w:sz w:val="43"/>
              </w:rPr>
            </w:pPr>
          </w:p>
          <w:p>
            <w:pPr>
              <w:pStyle w:val="10"/>
              <w:spacing w:before="1"/>
              <w:ind w:left="97" w:right="89"/>
              <w:jc w:val="center"/>
              <w:rPr>
                <w:rFonts w:ascii="黑体"/>
                <w:sz w:val="32"/>
              </w:rPr>
            </w:pPr>
            <w:r>
              <w:rPr>
                <w:rFonts w:ascii="黑体"/>
                <w:spacing w:val="-5"/>
                <w:sz w:val="32"/>
              </w:rPr>
              <w:t>10</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6"/>
              <w:rPr>
                <w:rFonts w:ascii="PMingLiU"/>
                <w:sz w:val="21"/>
              </w:rPr>
            </w:pPr>
          </w:p>
          <w:p>
            <w:pPr>
              <w:pStyle w:val="10"/>
              <w:spacing w:line="312" w:lineRule="auto"/>
              <w:ind w:left="106" w:right="97"/>
              <w:jc w:val="both"/>
              <w:rPr>
                <w:sz w:val="24"/>
              </w:rPr>
            </w:pPr>
            <w:r>
              <w:rPr>
                <w:spacing w:val="-2"/>
                <w:sz w:val="24"/>
              </w:rPr>
              <w:t>利用共用部位、共用设施设备开展经营活动</w:t>
            </w:r>
          </w:p>
        </w:tc>
        <w:tc>
          <w:tcPr>
            <w:tcW w:w="4917" w:type="dxa"/>
          </w:tcPr>
          <w:p>
            <w:pPr>
              <w:pStyle w:val="10"/>
              <w:rPr>
                <w:rFonts w:ascii="PMingLiU"/>
                <w:sz w:val="24"/>
              </w:rPr>
            </w:pPr>
          </w:p>
          <w:p>
            <w:pPr>
              <w:pStyle w:val="10"/>
              <w:rPr>
                <w:rFonts w:ascii="PMingLiU"/>
                <w:sz w:val="24"/>
              </w:rPr>
            </w:pPr>
          </w:p>
          <w:p>
            <w:pPr>
              <w:pStyle w:val="10"/>
              <w:spacing w:before="7"/>
              <w:rPr>
                <w:rFonts w:ascii="PMingLiU"/>
                <w:sz w:val="26"/>
              </w:rPr>
            </w:pPr>
          </w:p>
          <w:p>
            <w:pPr>
              <w:pStyle w:val="10"/>
              <w:spacing w:line="312" w:lineRule="auto"/>
              <w:ind w:left="108" w:right="-29"/>
              <w:rPr>
                <w:sz w:val="24"/>
              </w:rPr>
            </w:pPr>
            <w:r>
              <w:rPr>
                <w:spacing w:val="-12"/>
                <w:sz w:val="24"/>
              </w:rPr>
              <w:t>《物业管理条例》第五十四条：利用物业共用</w:t>
            </w:r>
            <w:r>
              <w:rPr>
                <w:spacing w:val="-13"/>
                <w:sz w:val="24"/>
              </w:rPr>
              <w:t>部位、共用设施设备进行经营的，应当在征得</w:t>
            </w:r>
            <w:r>
              <w:rPr>
                <w:spacing w:val="-18"/>
                <w:sz w:val="24"/>
              </w:rPr>
              <w:t>相关业主、业主大会、物业服务企业的同意后，</w:t>
            </w:r>
            <w:r>
              <w:rPr>
                <w:spacing w:val="-11"/>
                <w:sz w:val="24"/>
              </w:rPr>
              <w:t>按照规定办理有关手续。业主所得收益应当主要用于补充专项维修资金，也可以按照业主大</w:t>
            </w:r>
            <w:r>
              <w:rPr>
                <w:spacing w:val="-2"/>
                <w:sz w:val="24"/>
              </w:rPr>
              <w:t>会的决定使用。</w:t>
            </w:r>
          </w:p>
        </w:tc>
        <w:tc>
          <w:tcPr>
            <w:tcW w:w="4954" w:type="dxa"/>
          </w:tcPr>
          <w:p>
            <w:pPr>
              <w:pStyle w:val="10"/>
              <w:spacing w:before="48" w:line="280" w:lineRule="auto"/>
              <w:ind w:left="106" w:right="35"/>
              <w:jc w:val="both"/>
              <w:rPr>
                <w:sz w:val="24"/>
              </w:rPr>
            </w:pPr>
            <w:r>
              <w:rPr>
                <w:spacing w:val="-2"/>
                <w:sz w:val="24"/>
              </w:rPr>
              <w:t>《物业管理条例》第六十三条第一款第（三）项：违反本条例的规定，有下列行为之一的，</w:t>
            </w:r>
            <w:r>
              <w:rPr>
                <w:sz w:val="24"/>
              </w:rPr>
              <w:t>由县级以上地方人民政府房地产行政主管部</w:t>
            </w:r>
            <w:r>
              <w:rPr>
                <w:spacing w:val="-2"/>
                <w:sz w:val="24"/>
              </w:rPr>
              <w:t>门责令限期改正，给予警告，并按照本条第二款的规定处以罚款；所得收益，用于物业管理区域内物业共用部位、共用设施设备的维修、养护，剩余部分按照业主大会的决定使用：</w:t>
            </w:r>
          </w:p>
          <w:p>
            <w:pPr>
              <w:pStyle w:val="10"/>
              <w:spacing w:before="2" w:line="280" w:lineRule="auto"/>
              <w:ind w:left="106" w:right="97"/>
              <w:rPr>
                <w:sz w:val="24"/>
              </w:rPr>
            </w:pPr>
            <w:r>
              <w:rPr>
                <w:spacing w:val="-7"/>
                <w:sz w:val="24"/>
              </w:rPr>
              <w:t>(三)擅自利用物业共用部位、共用设施设备进</w:t>
            </w:r>
            <w:r>
              <w:rPr>
                <w:spacing w:val="-2"/>
                <w:sz w:val="24"/>
              </w:rPr>
              <w:t>行经营的。</w:t>
            </w:r>
          </w:p>
          <w:p>
            <w:pPr>
              <w:pStyle w:val="10"/>
              <w:ind w:left="106"/>
              <w:rPr>
                <w:sz w:val="24"/>
              </w:rPr>
            </w:pPr>
            <w:r>
              <w:rPr>
                <w:spacing w:val="-4"/>
                <w:sz w:val="24"/>
              </w:rPr>
              <w:t xml:space="preserve">个人有前款规定行为之一的，处 </w:t>
            </w:r>
            <w:r>
              <w:rPr>
                <w:sz w:val="24"/>
              </w:rPr>
              <w:t>1000</w:t>
            </w:r>
            <w:r>
              <w:rPr>
                <w:spacing w:val="-18"/>
                <w:sz w:val="24"/>
              </w:rPr>
              <w:t xml:space="preserve"> 元以上</w:t>
            </w:r>
          </w:p>
          <w:p>
            <w:pPr>
              <w:pStyle w:val="10"/>
              <w:spacing w:before="53"/>
              <w:ind w:left="106"/>
              <w:rPr>
                <w:sz w:val="24"/>
              </w:rPr>
            </w:pPr>
            <w:r>
              <w:rPr>
                <w:spacing w:val="-2"/>
                <w:sz w:val="24"/>
              </w:rPr>
              <w:t>1</w:t>
            </w:r>
            <w:r>
              <w:rPr>
                <w:spacing w:val="-8"/>
                <w:sz w:val="24"/>
              </w:rPr>
              <w:t xml:space="preserve"> 万元以下的罚款；单位有前款规定行为之一</w:t>
            </w:r>
          </w:p>
          <w:p>
            <w:pPr>
              <w:pStyle w:val="10"/>
              <w:spacing w:before="52" w:line="289" w:lineRule="exact"/>
              <w:ind w:left="106"/>
              <w:rPr>
                <w:sz w:val="24"/>
              </w:rPr>
            </w:pPr>
            <w:r>
              <w:rPr>
                <w:spacing w:val="-15"/>
                <w:sz w:val="24"/>
              </w:rPr>
              <w:t xml:space="preserve">的，处 </w:t>
            </w:r>
            <w:r>
              <w:rPr>
                <w:sz w:val="24"/>
              </w:rPr>
              <w:t>5</w:t>
            </w:r>
            <w:r>
              <w:rPr>
                <w:spacing w:val="-20"/>
                <w:sz w:val="24"/>
              </w:rPr>
              <w:t xml:space="preserve"> 万元以上 </w:t>
            </w:r>
            <w:r>
              <w:rPr>
                <w:sz w:val="24"/>
              </w:rPr>
              <w:t>20</w:t>
            </w:r>
            <w:r>
              <w:rPr>
                <w:spacing w:val="-9"/>
                <w:sz w:val="24"/>
              </w:rPr>
              <w:t xml:space="preserve"> 万元以下的罚款。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16"/>
              </w:rPr>
            </w:pPr>
          </w:p>
          <w:p>
            <w:pPr>
              <w:pStyle w:val="10"/>
              <w:spacing w:line="312" w:lineRule="auto"/>
              <w:ind w:left="106" w:right="98"/>
              <w:jc w:val="both"/>
              <w:rPr>
                <w:sz w:val="24"/>
              </w:rPr>
            </w:pPr>
            <w:r>
              <w:rPr>
                <w:spacing w:val="36"/>
                <w:sz w:val="24"/>
              </w:rPr>
              <w:t>县级以上地方人民政府房地产行政主</w:t>
            </w:r>
            <w:r>
              <w:rPr>
                <w:spacing w:val="-4"/>
                <w:sz w:val="24"/>
              </w:rPr>
              <w:t>管部门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0" w:hRule="atLeast"/>
        </w:trPr>
        <w:tc>
          <w:tcPr>
            <w:tcW w:w="785" w:type="dxa"/>
          </w:tcPr>
          <w:p>
            <w:pPr>
              <w:pStyle w:val="10"/>
              <w:rPr>
                <w:rFonts w:ascii="PMingLiU"/>
                <w:sz w:val="32"/>
              </w:rPr>
            </w:pPr>
          </w:p>
          <w:p>
            <w:pPr>
              <w:pStyle w:val="10"/>
              <w:spacing w:before="5"/>
              <w:rPr>
                <w:rFonts w:ascii="PMingLiU"/>
                <w:sz w:val="26"/>
              </w:rPr>
            </w:pPr>
          </w:p>
          <w:p>
            <w:pPr>
              <w:pStyle w:val="10"/>
              <w:ind w:right="221"/>
              <w:jc w:val="right"/>
              <w:rPr>
                <w:rFonts w:ascii="黑体"/>
                <w:sz w:val="32"/>
              </w:rPr>
            </w:pPr>
            <w:r>
              <w:rPr>
                <w:rFonts w:ascii="黑体"/>
                <w:spacing w:val="-5"/>
                <w:sz w:val="32"/>
              </w:rPr>
              <w:t>11</w:t>
            </w:r>
          </w:p>
        </w:tc>
        <w:tc>
          <w:tcPr>
            <w:tcW w:w="1949" w:type="dxa"/>
          </w:tcPr>
          <w:p>
            <w:pPr>
              <w:pStyle w:val="10"/>
              <w:spacing w:before="7"/>
              <w:rPr>
                <w:rFonts w:ascii="PMingLiU"/>
                <w:sz w:val="21"/>
              </w:rPr>
            </w:pPr>
          </w:p>
          <w:p>
            <w:pPr>
              <w:pStyle w:val="10"/>
              <w:spacing w:line="312" w:lineRule="auto"/>
              <w:ind w:left="106" w:right="95"/>
              <w:jc w:val="both"/>
              <w:rPr>
                <w:sz w:val="24"/>
              </w:rPr>
            </w:pPr>
            <w:r>
              <w:rPr>
                <w:spacing w:val="-2"/>
                <w:sz w:val="24"/>
              </w:rPr>
              <w:t>建设单位（开发商）拒不承担首次业主大会筹备</w:t>
            </w:r>
            <w:r>
              <w:rPr>
                <w:spacing w:val="-6"/>
                <w:sz w:val="24"/>
              </w:rPr>
              <w:t>经费</w:t>
            </w:r>
          </w:p>
        </w:tc>
        <w:tc>
          <w:tcPr>
            <w:tcW w:w="4917" w:type="dxa"/>
          </w:tcPr>
          <w:p>
            <w:pPr>
              <w:pStyle w:val="10"/>
              <w:rPr>
                <w:rFonts w:ascii="PMingLiU"/>
                <w:sz w:val="24"/>
              </w:rPr>
            </w:pPr>
          </w:p>
          <w:p>
            <w:pPr>
              <w:pStyle w:val="10"/>
              <w:spacing w:before="2"/>
              <w:rPr>
                <w:rFonts w:ascii="PMingLiU"/>
                <w:sz w:val="26"/>
              </w:rPr>
            </w:pPr>
          </w:p>
          <w:p>
            <w:pPr>
              <w:pStyle w:val="10"/>
              <w:spacing w:line="312" w:lineRule="auto"/>
              <w:ind w:left="108" w:right="-15"/>
              <w:rPr>
                <w:sz w:val="24"/>
              </w:rPr>
            </w:pPr>
            <w:r>
              <w:rPr>
                <w:spacing w:val="-7"/>
                <w:sz w:val="24"/>
              </w:rPr>
              <w:t>《安徽省物业管理条例》第十六条第四款：首</w:t>
            </w:r>
            <w:r>
              <w:rPr>
                <w:spacing w:val="-2"/>
                <w:sz w:val="24"/>
              </w:rPr>
              <w:t>次业主大会会议的筹备经费由建设单位承担。</w:t>
            </w:r>
          </w:p>
        </w:tc>
        <w:tc>
          <w:tcPr>
            <w:tcW w:w="4954" w:type="dxa"/>
          </w:tcPr>
          <w:p>
            <w:pPr>
              <w:pStyle w:val="10"/>
              <w:spacing w:before="32" w:line="266" w:lineRule="auto"/>
              <w:ind w:left="106" w:right="35"/>
              <w:jc w:val="both"/>
              <w:rPr>
                <w:sz w:val="24"/>
              </w:rPr>
            </w:pPr>
            <w:r>
              <w:rPr>
                <w:spacing w:val="-2"/>
                <w:sz w:val="24"/>
              </w:rPr>
              <w:t>《安徽省物业管理条例》第九十五条第二款：</w:t>
            </w:r>
            <w:r>
              <w:rPr>
                <w:spacing w:val="-7"/>
                <w:sz w:val="24"/>
              </w:rPr>
              <w:t>违反本条例第十六条第四款规定，建设单位拒不承担首次业主大会筹备经费的，由县级人民</w:t>
            </w:r>
            <w:r>
              <w:rPr>
                <w:spacing w:val="-6"/>
                <w:sz w:val="24"/>
              </w:rPr>
              <w:t>政府物业管理行政主管部门责令限期改正；逾</w:t>
            </w:r>
            <w:r>
              <w:rPr>
                <w:spacing w:val="-10"/>
                <w:sz w:val="24"/>
              </w:rPr>
              <w:t>期不改正的，处五万元以上十五万元以下的罚</w:t>
            </w:r>
          </w:p>
          <w:p>
            <w:pPr>
              <w:pStyle w:val="10"/>
              <w:spacing w:line="281" w:lineRule="exact"/>
              <w:ind w:left="106"/>
              <w:rPr>
                <w:sz w:val="24"/>
              </w:rPr>
            </w:pPr>
            <w:r>
              <w:rPr>
                <w:spacing w:val="-5"/>
                <w:sz w:val="24"/>
              </w:rPr>
              <w:t>款。</w:t>
            </w:r>
          </w:p>
        </w:tc>
        <w:tc>
          <w:tcPr>
            <w:tcW w:w="1340" w:type="dxa"/>
          </w:tcPr>
          <w:p>
            <w:pPr>
              <w:pStyle w:val="10"/>
              <w:spacing w:before="10"/>
              <w:rPr>
                <w:rFonts w:ascii="PMingLiU"/>
                <w:sz w:val="35"/>
              </w:rPr>
            </w:pPr>
          </w:p>
          <w:p>
            <w:pPr>
              <w:pStyle w:val="10"/>
              <w:spacing w:line="312" w:lineRule="auto"/>
              <w:ind w:left="106" w:right="95"/>
              <w:jc w:val="both"/>
              <w:rPr>
                <w:sz w:val="24"/>
              </w:rPr>
            </w:pPr>
            <w:r>
              <w:rPr>
                <w:spacing w:val="38"/>
                <w:sz w:val="24"/>
              </w:rPr>
              <w:t>县级物业</w:t>
            </w:r>
            <w:r>
              <w:rPr>
                <w:spacing w:val="36"/>
                <w:sz w:val="24"/>
              </w:rPr>
              <w:t>管理行政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8"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2"/>
              <w:rPr>
                <w:rFonts w:ascii="PMingLiU"/>
                <w:sz w:val="22"/>
              </w:rPr>
            </w:pPr>
          </w:p>
          <w:p>
            <w:pPr>
              <w:pStyle w:val="10"/>
              <w:ind w:right="221"/>
              <w:jc w:val="right"/>
              <w:rPr>
                <w:rFonts w:ascii="黑体"/>
                <w:sz w:val="32"/>
              </w:rPr>
            </w:pPr>
            <w:r>
              <w:rPr>
                <w:rFonts w:ascii="黑体"/>
                <w:spacing w:val="-5"/>
                <w:sz w:val="32"/>
              </w:rPr>
              <w:t>12</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23"/>
              </w:rPr>
            </w:pPr>
          </w:p>
          <w:p>
            <w:pPr>
              <w:pStyle w:val="10"/>
              <w:spacing w:line="312" w:lineRule="auto"/>
              <w:ind w:left="106" w:right="97"/>
              <w:jc w:val="both"/>
              <w:rPr>
                <w:sz w:val="24"/>
              </w:rPr>
            </w:pPr>
            <w:r>
              <w:rPr>
                <w:spacing w:val="-2"/>
                <w:sz w:val="24"/>
              </w:rPr>
              <w:t>物业服务企业未按期退出或者擅</w:t>
            </w:r>
            <w:r>
              <w:rPr>
                <w:spacing w:val="-4"/>
                <w:sz w:val="24"/>
              </w:rPr>
              <w:t>自撤离</w:t>
            </w:r>
          </w:p>
        </w:tc>
        <w:tc>
          <w:tcPr>
            <w:tcW w:w="4917" w:type="dxa"/>
          </w:tcPr>
          <w:p>
            <w:pPr>
              <w:pStyle w:val="10"/>
              <w:spacing w:before="17" w:line="249" w:lineRule="auto"/>
              <w:ind w:left="108" w:right="-15"/>
              <w:rPr>
                <w:sz w:val="24"/>
              </w:rPr>
            </w:pPr>
            <w:r>
              <w:rPr>
                <w:sz w:val="24"/>
              </w:rPr>
              <w:t>《安徽省物业管理条例》第六十三条第一款、</w:t>
            </w:r>
            <w:r>
              <w:rPr>
                <w:spacing w:val="-11"/>
                <w:sz w:val="24"/>
              </w:rPr>
              <w:t>第四款：物业服务合同解除或者终止后，原物</w:t>
            </w:r>
            <w:r>
              <w:rPr>
                <w:spacing w:val="6"/>
                <w:sz w:val="24"/>
              </w:rPr>
              <w:t>业服务企业应当在物业服务合同解除或者终</w:t>
            </w:r>
            <w:r>
              <w:rPr>
                <w:spacing w:val="-11"/>
                <w:sz w:val="24"/>
              </w:rPr>
              <w:t>止，并在新的物业服务企业选聘后十五日内退</w:t>
            </w:r>
            <w:r>
              <w:rPr>
                <w:spacing w:val="-12"/>
                <w:sz w:val="24"/>
              </w:rPr>
              <w:t>出，并按照法律、法规规定和合同约定，向业</w:t>
            </w:r>
            <w:r>
              <w:rPr>
                <w:spacing w:val="6"/>
                <w:sz w:val="24"/>
              </w:rPr>
              <w:t>主委员会或者其他代管单位移交下列资料和财物：</w:t>
            </w:r>
          </w:p>
          <w:p>
            <w:pPr>
              <w:pStyle w:val="10"/>
              <w:spacing w:before="1" w:line="252" w:lineRule="auto"/>
              <w:ind w:left="108" w:right="94" w:firstLine="480"/>
              <w:rPr>
                <w:sz w:val="24"/>
              </w:rPr>
            </w:pPr>
            <w:r>
              <w:rPr>
                <w:spacing w:val="-2"/>
                <w:sz w:val="24"/>
              </w:rPr>
              <w:t>（一）移交本条例第五十二条规定的材</w:t>
            </w:r>
            <w:r>
              <w:rPr>
                <w:spacing w:val="-6"/>
                <w:sz w:val="24"/>
              </w:rPr>
              <w:t>料；</w:t>
            </w:r>
          </w:p>
          <w:p>
            <w:pPr>
              <w:pStyle w:val="10"/>
              <w:spacing w:line="249" w:lineRule="auto"/>
              <w:ind w:left="108" w:right="97" w:firstLine="480"/>
              <w:jc w:val="both"/>
              <w:rPr>
                <w:sz w:val="24"/>
              </w:rPr>
            </w:pPr>
            <w:r>
              <w:rPr>
                <w:spacing w:val="-2"/>
                <w:sz w:val="24"/>
              </w:rPr>
              <w:t>（二</w:t>
            </w:r>
            <w:r>
              <w:rPr>
                <w:spacing w:val="-101"/>
                <w:sz w:val="24"/>
              </w:rPr>
              <w:t>）</w:t>
            </w:r>
            <w:r>
              <w:rPr>
                <w:spacing w:val="-2"/>
                <w:sz w:val="24"/>
              </w:rPr>
              <w:t>移交物业服务期间形成的有关物业</w:t>
            </w:r>
            <w:r>
              <w:rPr>
                <w:spacing w:val="-6"/>
                <w:sz w:val="24"/>
              </w:rPr>
              <w:t>及设施设备改造、维修、运行、保养的有关资</w:t>
            </w:r>
            <w:r>
              <w:rPr>
                <w:spacing w:val="-2"/>
                <w:sz w:val="24"/>
              </w:rPr>
              <w:t>料及物业服务档案；</w:t>
            </w:r>
          </w:p>
          <w:p>
            <w:pPr>
              <w:pStyle w:val="10"/>
              <w:spacing w:line="249" w:lineRule="auto"/>
              <w:ind w:left="108" w:right="97" w:firstLine="480"/>
              <w:rPr>
                <w:sz w:val="24"/>
              </w:rPr>
            </w:pPr>
            <w:r>
              <w:rPr>
                <w:spacing w:val="-2"/>
                <w:sz w:val="24"/>
              </w:rPr>
              <w:t>（三</w:t>
            </w:r>
            <w:r>
              <w:rPr>
                <w:spacing w:val="-51"/>
                <w:sz w:val="24"/>
              </w:rPr>
              <w:t>）</w:t>
            </w:r>
            <w:r>
              <w:rPr>
                <w:spacing w:val="-6"/>
                <w:sz w:val="24"/>
              </w:rPr>
              <w:t>物业服务用房和物业共用部位、共</w:t>
            </w:r>
            <w:r>
              <w:rPr>
                <w:spacing w:val="-2"/>
                <w:sz w:val="24"/>
              </w:rPr>
              <w:t>用设施设备；</w:t>
            </w:r>
          </w:p>
          <w:p>
            <w:pPr>
              <w:pStyle w:val="10"/>
              <w:spacing w:line="249" w:lineRule="auto"/>
              <w:ind w:left="108" w:right="97" w:firstLine="480"/>
              <w:rPr>
                <w:sz w:val="24"/>
              </w:rPr>
            </w:pPr>
            <w:r>
              <w:rPr>
                <w:spacing w:val="-2"/>
                <w:sz w:val="24"/>
              </w:rPr>
              <w:t>（四</w:t>
            </w:r>
            <w:r>
              <w:rPr>
                <w:spacing w:val="-51"/>
                <w:sz w:val="24"/>
              </w:rPr>
              <w:t>）</w:t>
            </w:r>
            <w:r>
              <w:rPr>
                <w:spacing w:val="-9"/>
                <w:sz w:val="24"/>
              </w:rPr>
              <w:t>移交清算预收、代收的有关费用及</w:t>
            </w:r>
            <w:r>
              <w:rPr>
                <w:spacing w:val="-2"/>
                <w:sz w:val="24"/>
              </w:rPr>
              <w:t>相关账册、票据；</w:t>
            </w:r>
          </w:p>
          <w:p>
            <w:pPr>
              <w:pStyle w:val="10"/>
              <w:spacing w:line="252" w:lineRule="auto"/>
              <w:ind w:left="108" w:right="97" w:firstLine="480"/>
              <w:rPr>
                <w:sz w:val="24"/>
              </w:rPr>
            </w:pPr>
            <w:r>
              <w:rPr>
                <w:spacing w:val="-2"/>
                <w:sz w:val="24"/>
              </w:rPr>
              <w:t>（五</w:t>
            </w:r>
            <w:r>
              <w:rPr>
                <w:spacing w:val="-51"/>
                <w:sz w:val="24"/>
              </w:rPr>
              <w:t>）</w:t>
            </w:r>
            <w:r>
              <w:rPr>
                <w:spacing w:val="-10"/>
                <w:sz w:val="24"/>
              </w:rPr>
              <w:t>法律、法规规定的应当移交的其他</w:t>
            </w:r>
            <w:r>
              <w:rPr>
                <w:spacing w:val="-4"/>
                <w:sz w:val="24"/>
              </w:rPr>
              <w:t>事项。</w:t>
            </w:r>
          </w:p>
          <w:p>
            <w:pPr>
              <w:pStyle w:val="10"/>
              <w:spacing w:line="303" w:lineRule="exact"/>
              <w:ind w:left="588"/>
              <w:rPr>
                <w:sz w:val="24"/>
              </w:rPr>
            </w:pPr>
            <w:r>
              <w:rPr>
                <w:spacing w:val="-9"/>
                <w:sz w:val="24"/>
              </w:rPr>
              <w:t>物业服务企业未办理交接手续，不得擅自</w:t>
            </w:r>
          </w:p>
          <w:p>
            <w:pPr>
              <w:pStyle w:val="10"/>
              <w:spacing w:before="7" w:line="281" w:lineRule="exact"/>
              <w:ind w:left="108"/>
              <w:rPr>
                <w:sz w:val="24"/>
              </w:rPr>
            </w:pPr>
            <w:r>
              <w:rPr>
                <w:spacing w:val="-1"/>
                <w:sz w:val="24"/>
              </w:rPr>
              <w:t>撤离物业管理区域、停止物业服务。</w:t>
            </w:r>
          </w:p>
        </w:tc>
        <w:tc>
          <w:tcPr>
            <w:tcW w:w="4954"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04" w:line="312" w:lineRule="auto"/>
              <w:ind w:left="106" w:right="97"/>
              <w:jc w:val="both"/>
              <w:rPr>
                <w:sz w:val="24"/>
              </w:rPr>
            </w:pPr>
            <w:r>
              <w:rPr>
                <w:spacing w:val="-4"/>
                <w:sz w:val="24"/>
              </w:rPr>
              <w:t>《安徽省物业管理条例》第九十七条：违反本条例第六十三条第一款、第四款规定，物业服</w:t>
            </w:r>
            <w:r>
              <w:rPr>
                <w:spacing w:val="-6"/>
                <w:sz w:val="24"/>
              </w:rPr>
              <w:t>务企业未按期退出或者擅自撤离的，由县级以</w:t>
            </w:r>
            <w:r>
              <w:rPr>
                <w:sz w:val="24"/>
              </w:rPr>
              <w:t>上人民政府物业管理行政主管部门责令限期</w:t>
            </w:r>
            <w:r>
              <w:rPr>
                <w:spacing w:val="-4"/>
                <w:sz w:val="24"/>
              </w:rPr>
              <w:t>改正；逾期不改正的，由县级以上人民政府物</w:t>
            </w:r>
            <w:r>
              <w:rPr>
                <w:sz w:val="24"/>
              </w:rPr>
              <w:t>业管理行政主管部门处以五万元以上十万元</w:t>
            </w:r>
            <w:r>
              <w:rPr>
                <w:spacing w:val="-2"/>
                <w:sz w:val="24"/>
              </w:rPr>
              <w:t>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6"/>
              <w:rPr>
                <w:rFonts w:ascii="PMingLiU"/>
                <w:sz w:val="33"/>
              </w:rPr>
            </w:pPr>
          </w:p>
          <w:p>
            <w:pPr>
              <w:pStyle w:val="10"/>
              <w:spacing w:before="1" w:line="312" w:lineRule="auto"/>
              <w:ind w:left="106" w:right="98"/>
              <w:jc w:val="both"/>
              <w:rPr>
                <w:sz w:val="24"/>
              </w:rPr>
            </w:pPr>
            <w:r>
              <w:rPr>
                <w:spacing w:val="36"/>
                <w:sz w:val="24"/>
              </w:rPr>
              <w:t>县级以上物业管理行政主管</w:t>
            </w:r>
            <w:r>
              <w:rPr>
                <w:spacing w:val="-6"/>
                <w:sz w:val="24"/>
              </w:rPr>
              <w:t>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85"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right="221"/>
              <w:jc w:val="right"/>
              <w:rPr>
                <w:rFonts w:ascii="黑体"/>
                <w:sz w:val="32"/>
              </w:rPr>
            </w:pPr>
            <w:r>
              <w:rPr>
                <w:rFonts w:ascii="黑体"/>
                <w:spacing w:val="-5"/>
                <w:sz w:val="32"/>
              </w:rPr>
              <w:t>13</w:t>
            </w:r>
          </w:p>
        </w:tc>
        <w:tc>
          <w:tcPr>
            <w:tcW w:w="1949" w:type="dxa"/>
          </w:tcPr>
          <w:p>
            <w:pPr>
              <w:pStyle w:val="10"/>
              <w:rPr>
                <w:rFonts w:ascii="PMingLiU"/>
                <w:sz w:val="24"/>
              </w:rPr>
            </w:pPr>
          </w:p>
          <w:p>
            <w:pPr>
              <w:pStyle w:val="10"/>
              <w:rPr>
                <w:rFonts w:ascii="PMingLiU"/>
                <w:sz w:val="24"/>
              </w:rPr>
            </w:pPr>
          </w:p>
          <w:p>
            <w:pPr>
              <w:pStyle w:val="10"/>
              <w:spacing w:before="210" w:line="312" w:lineRule="auto"/>
              <w:ind w:left="106" w:right="97"/>
              <w:jc w:val="both"/>
              <w:rPr>
                <w:sz w:val="24"/>
              </w:rPr>
            </w:pPr>
            <w:r>
              <w:rPr>
                <w:spacing w:val="-2"/>
                <w:sz w:val="24"/>
              </w:rPr>
              <w:t>擅自变动房屋建筑主体和承重结</w:t>
            </w:r>
            <w:r>
              <w:rPr>
                <w:spacing w:val="-10"/>
                <w:sz w:val="24"/>
              </w:rPr>
              <w:t>构</w:t>
            </w:r>
          </w:p>
        </w:tc>
        <w:tc>
          <w:tcPr>
            <w:tcW w:w="4917" w:type="dxa"/>
          </w:tcPr>
          <w:p>
            <w:pPr>
              <w:pStyle w:val="10"/>
              <w:rPr>
                <w:rFonts w:ascii="PMingLiU"/>
                <w:sz w:val="24"/>
              </w:rPr>
            </w:pPr>
          </w:p>
          <w:p>
            <w:pPr>
              <w:pStyle w:val="10"/>
              <w:rPr>
                <w:rFonts w:ascii="PMingLiU"/>
                <w:sz w:val="24"/>
              </w:rPr>
            </w:pPr>
          </w:p>
          <w:p>
            <w:pPr>
              <w:pStyle w:val="10"/>
              <w:spacing w:before="210" w:line="312" w:lineRule="auto"/>
              <w:ind w:left="108" w:right="97"/>
              <w:jc w:val="both"/>
              <w:rPr>
                <w:sz w:val="24"/>
              </w:rPr>
            </w:pPr>
            <w:r>
              <w:rPr>
                <w:spacing w:val="-11"/>
                <w:sz w:val="24"/>
              </w:rPr>
              <w:t>《建设工程质量管理条例》第十五条第二款房</w:t>
            </w:r>
            <w:r>
              <w:rPr>
                <w:spacing w:val="-10"/>
                <w:sz w:val="24"/>
              </w:rPr>
              <w:t>屋建筑使用者在装修过程中，不得擅自变动房</w:t>
            </w:r>
            <w:r>
              <w:rPr>
                <w:spacing w:val="-2"/>
                <w:sz w:val="24"/>
              </w:rPr>
              <w:t>屋建筑主体和承重墙。</w:t>
            </w:r>
          </w:p>
        </w:tc>
        <w:tc>
          <w:tcPr>
            <w:tcW w:w="4954" w:type="dxa"/>
          </w:tcPr>
          <w:p>
            <w:pPr>
              <w:pStyle w:val="10"/>
              <w:spacing w:before="80" w:line="312" w:lineRule="auto"/>
              <w:ind w:left="106" w:right="97"/>
              <w:jc w:val="both"/>
              <w:rPr>
                <w:sz w:val="24"/>
              </w:rPr>
            </w:pPr>
            <w:r>
              <w:rPr>
                <w:spacing w:val="-6"/>
                <w:sz w:val="24"/>
              </w:rPr>
              <w:t>《建设工程质量管理条例》第六十九条 违反</w:t>
            </w:r>
            <w:r>
              <w:rPr>
                <w:spacing w:val="-10"/>
                <w:sz w:val="24"/>
              </w:rPr>
              <w:t>本条例规定，涉及建筑主体或者承重结构变动</w:t>
            </w:r>
            <w:r>
              <w:rPr>
                <w:spacing w:val="-4"/>
                <w:sz w:val="24"/>
              </w:rPr>
              <w:t>的装修工程，没有设计方案擅自施工的，责令</w:t>
            </w:r>
            <w:r>
              <w:rPr>
                <w:w w:val="95"/>
                <w:sz w:val="24"/>
              </w:rPr>
              <w:t>改正，处 50 万元以上 100 万元以下的罚款；</w:t>
            </w:r>
            <w:r>
              <w:rPr>
                <w:sz w:val="24"/>
              </w:rPr>
              <w:t>房屋建筑使用者在装修过程中擅自变动房屋</w:t>
            </w:r>
            <w:r>
              <w:rPr>
                <w:spacing w:val="-7"/>
                <w:sz w:val="24"/>
              </w:rPr>
              <w:t xml:space="preserve">建筑主体和承重结构的，责令改正，处 </w:t>
            </w:r>
            <w:r>
              <w:rPr>
                <w:spacing w:val="-4"/>
                <w:sz w:val="24"/>
              </w:rPr>
              <w:t>5</w:t>
            </w:r>
            <w:r>
              <w:rPr>
                <w:spacing w:val="-23"/>
                <w:sz w:val="24"/>
              </w:rPr>
              <w:t xml:space="preserve"> 万元</w:t>
            </w:r>
          </w:p>
          <w:p>
            <w:pPr>
              <w:pStyle w:val="10"/>
              <w:spacing w:before="1" w:line="300" w:lineRule="exact"/>
              <w:ind w:left="106"/>
              <w:jc w:val="both"/>
              <w:rPr>
                <w:sz w:val="24"/>
              </w:rPr>
            </w:pPr>
            <w:r>
              <w:rPr>
                <w:spacing w:val="-20"/>
                <w:sz w:val="24"/>
              </w:rPr>
              <w:t xml:space="preserve">以上 </w:t>
            </w:r>
            <w:r>
              <w:rPr>
                <w:sz w:val="24"/>
              </w:rPr>
              <w:t>10</w:t>
            </w:r>
            <w:r>
              <w:rPr>
                <w:spacing w:val="-9"/>
                <w:sz w:val="24"/>
              </w:rPr>
              <w:t xml:space="preserve"> 万元以下的罚款。</w:t>
            </w:r>
          </w:p>
        </w:tc>
        <w:tc>
          <w:tcPr>
            <w:tcW w:w="1340" w:type="dxa"/>
          </w:tcPr>
          <w:p>
            <w:pPr>
              <w:pStyle w:val="10"/>
              <w:rPr>
                <w:rFonts w:ascii="PMingLiU"/>
                <w:sz w:val="24"/>
              </w:rPr>
            </w:pPr>
          </w:p>
          <w:p>
            <w:pPr>
              <w:pStyle w:val="10"/>
              <w:rPr>
                <w:rFonts w:ascii="PMingLiU"/>
                <w:sz w:val="24"/>
              </w:rPr>
            </w:pPr>
          </w:p>
          <w:p>
            <w:pPr>
              <w:pStyle w:val="10"/>
              <w:spacing w:before="210" w:line="312" w:lineRule="auto"/>
              <w:ind w:left="106" w:right="95"/>
              <w:jc w:val="both"/>
              <w:rPr>
                <w:sz w:val="24"/>
              </w:rPr>
            </w:pPr>
            <w:r>
              <w:rPr>
                <w:spacing w:val="36"/>
                <w:sz w:val="24"/>
              </w:rPr>
              <w:t>县级以上</w:t>
            </w:r>
            <w:r>
              <w:rPr>
                <w:spacing w:val="38"/>
                <w:sz w:val="24"/>
              </w:rPr>
              <w:t>建设行政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0" w:hRule="atLeast"/>
        </w:trPr>
        <w:tc>
          <w:tcPr>
            <w:tcW w:w="785" w:type="dxa"/>
          </w:tcPr>
          <w:p>
            <w:pPr>
              <w:pStyle w:val="10"/>
              <w:rPr>
                <w:rFonts w:ascii="PMingLiU"/>
                <w:sz w:val="32"/>
              </w:rPr>
            </w:pPr>
          </w:p>
          <w:p>
            <w:pPr>
              <w:pStyle w:val="10"/>
              <w:spacing w:before="3"/>
              <w:rPr>
                <w:rFonts w:ascii="PMingLiU"/>
                <w:sz w:val="39"/>
              </w:rPr>
            </w:pPr>
          </w:p>
          <w:p>
            <w:pPr>
              <w:pStyle w:val="10"/>
              <w:ind w:right="221"/>
              <w:jc w:val="right"/>
              <w:rPr>
                <w:rFonts w:ascii="黑体"/>
                <w:sz w:val="32"/>
              </w:rPr>
            </w:pPr>
            <w:r>
              <w:rPr>
                <w:rFonts w:ascii="黑体"/>
                <w:spacing w:val="-5"/>
                <w:sz w:val="32"/>
              </w:rPr>
              <w:t>14</w:t>
            </w:r>
          </w:p>
        </w:tc>
        <w:tc>
          <w:tcPr>
            <w:tcW w:w="1949" w:type="dxa"/>
          </w:tcPr>
          <w:p>
            <w:pPr>
              <w:pStyle w:val="10"/>
              <w:rPr>
                <w:rFonts w:ascii="PMingLiU"/>
                <w:sz w:val="24"/>
              </w:rPr>
            </w:pPr>
          </w:p>
          <w:p>
            <w:pPr>
              <w:pStyle w:val="10"/>
              <w:spacing w:before="9"/>
              <w:rPr>
                <w:rFonts w:ascii="PMingLiU"/>
                <w:sz w:val="24"/>
              </w:rPr>
            </w:pPr>
          </w:p>
          <w:p>
            <w:pPr>
              <w:pStyle w:val="10"/>
              <w:spacing w:line="312" w:lineRule="auto"/>
              <w:ind w:left="106" w:right="95"/>
              <w:jc w:val="both"/>
              <w:rPr>
                <w:sz w:val="24"/>
              </w:rPr>
            </w:pPr>
            <w:r>
              <w:rPr>
                <w:spacing w:val="-2"/>
                <w:sz w:val="24"/>
              </w:rPr>
              <w:t>侵占、损坏业主共用部位、共用</w:t>
            </w:r>
            <w:r>
              <w:rPr>
                <w:spacing w:val="-4"/>
                <w:sz w:val="24"/>
              </w:rPr>
              <w:t>设施设备</w:t>
            </w:r>
          </w:p>
        </w:tc>
        <w:tc>
          <w:tcPr>
            <w:tcW w:w="4917" w:type="dxa"/>
          </w:tcPr>
          <w:p>
            <w:pPr>
              <w:pStyle w:val="10"/>
              <w:rPr>
                <w:rFonts w:ascii="PMingLiU"/>
                <w:sz w:val="24"/>
              </w:rPr>
            </w:pPr>
          </w:p>
          <w:p>
            <w:pPr>
              <w:pStyle w:val="10"/>
              <w:spacing w:before="9"/>
              <w:rPr>
                <w:rFonts w:ascii="PMingLiU"/>
                <w:sz w:val="24"/>
              </w:rPr>
            </w:pPr>
          </w:p>
          <w:p>
            <w:pPr>
              <w:pStyle w:val="10"/>
              <w:spacing w:line="312" w:lineRule="auto"/>
              <w:ind w:left="108" w:right="94"/>
              <w:jc w:val="both"/>
              <w:rPr>
                <w:sz w:val="24"/>
              </w:rPr>
            </w:pPr>
            <w:r>
              <w:rPr>
                <w:spacing w:val="-11"/>
                <w:sz w:val="24"/>
              </w:rPr>
              <w:t>《安徽省物业管理条例》第七十九条第一款第</w:t>
            </w:r>
            <w:r>
              <w:rPr>
                <w:spacing w:val="-6"/>
                <w:sz w:val="24"/>
              </w:rPr>
              <w:t>二项：（二）侵占、损坏物业的共用部位、共</w:t>
            </w:r>
            <w:r>
              <w:rPr>
                <w:spacing w:val="-2"/>
                <w:sz w:val="24"/>
              </w:rPr>
              <w:t>用设施设备。</w:t>
            </w:r>
          </w:p>
        </w:tc>
        <w:tc>
          <w:tcPr>
            <w:tcW w:w="4954" w:type="dxa"/>
          </w:tcPr>
          <w:p>
            <w:pPr>
              <w:pStyle w:val="10"/>
              <w:spacing w:before="80" w:line="312" w:lineRule="auto"/>
              <w:ind w:left="106" w:right="97"/>
              <w:jc w:val="both"/>
              <w:rPr>
                <w:sz w:val="24"/>
              </w:rPr>
            </w:pPr>
            <w:r>
              <w:rPr>
                <w:spacing w:val="-4"/>
                <w:sz w:val="24"/>
              </w:rPr>
              <w:t>《安徽省物业管理条例》第一百条第二款：违</w:t>
            </w:r>
            <w:r>
              <w:rPr>
                <w:spacing w:val="-6"/>
                <w:sz w:val="24"/>
              </w:rPr>
              <w:t>反本条例第七十九条第一款第二项规定的，由</w:t>
            </w:r>
            <w:r>
              <w:rPr>
                <w:sz w:val="24"/>
              </w:rPr>
              <w:t>物业管理行政主管部门或者其他依法行使监</w:t>
            </w:r>
            <w:r>
              <w:rPr>
                <w:spacing w:val="-4"/>
                <w:sz w:val="24"/>
              </w:rPr>
              <w:t>督管理权的部门责令限期改正、恢复原状，并</w:t>
            </w:r>
            <w:r>
              <w:rPr>
                <w:spacing w:val="-5"/>
                <w:sz w:val="24"/>
              </w:rPr>
              <w:t>对个人处以二千元以上一万元以下罚款；对单</w:t>
            </w:r>
          </w:p>
          <w:p>
            <w:pPr>
              <w:pStyle w:val="10"/>
              <w:spacing w:before="3" w:line="298" w:lineRule="exact"/>
              <w:ind w:left="106"/>
              <w:rPr>
                <w:sz w:val="24"/>
              </w:rPr>
            </w:pPr>
            <w:r>
              <w:rPr>
                <w:spacing w:val="-1"/>
                <w:sz w:val="24"/>
              </w:rPr>
              <w:t>位处以五万元以上二十万元以下罚款。</w:t>
            </w:r>
          </w:p>
        </w:tc>
        <w:tc>
          <w:tcPr>
            <w:tcW w:w="1340" w:type="dxa"/>
          </w:tcPr>
          <w:p>
            <w:pPr>
              <w:pStyle w:val="10"/>
              <w:rPr>
                <w:rFonts w:ascii="PMingLiU"/>
                <w:sz w:val="24"/>
              </w:rPr>
            </w:pPr>
          </w:p>
          <w:p>
            <w:pPr>
              <w:pStyle w:val="10"/>
              <w:spacing w:before="9"/>
              <w:rPr>
                <w:rFonts w:ascii="PMingLiU"/>
                <w:sz w:val="24"/>
              </w:rPr>
            </w:pPr>
          </w:p>
          <w:p>
            <w:pPr>
              <w:pStyle w:val="10"/>
              <w:spacing w:line="312" w:lineRule="auto"/>
              <w:ind w:left="106" w:right="95"/>
              <w:jc w:val="both"/>
              <w:rPr>
                <w:sz w:val="24"/>
              </w:rPr>
            </w:pPr>
            <w:r>
              <w:rPr>
                <w:spacing w:val="38"/>
                <w:sz w:val="24"/>
              </w:rPr>
              <w:t>市县物业</w:t>
            </w:r>
            <w:r>
              <w:rPr>
                <w:spacing w:val="36"/>
                <w:sz w:val="24"/>
              </w:rPr>
              <w:t>管理行政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7" w:hRule="atLeast"/>
        </w:trPr>
        <w:tc>
          <w:tcPr>
            <w:tcW w:w="785" w:type="dxa"/>
          </w:tcPr>
          <w:p>
            <w:pPr>
              <w:pStyle w:val="10"/>
              <w:rPr>
                <w:rFonts w:ascii="PMingLiU"/>
                <w:sz w:val="32"/>
              </w:rPr>
            </w:pPr>
          </w:p>
          <w:p>
            <w:pPr>
              <w:pStyle w:val="10"/>
              <w:rPr>
                <w:rFonts w:ascii="PMingLiU"/>
                <w:sz w:val="32"/>
              </w:rPr>
            </w:pPr>
          </w:p>
          <w:p>
            <w:pPr>
              <w:pStyle w:val="10"/>
              <w:spacing w:before="12"/>
              <w:rPr>
                <w:rFonts w:ascii="PMingLiU"/>
                <w:sz w:val="35"/>
              </w:rPr>
            </w:pPr>
          </w:p>
          <w:p>
            <w:pPr>
              <w:pStyle w:val="10"/>
              <w:ind w:right="221"/>
              <w:jc w:val="right"/>
              <w:rPr>
                <w:rFonts w:ascii="黑体"/>
                <w:sz w:val="32"/>
              </w:rPr>
            </w:pPr>
            <w:r>
              <w:rPr>
                <w:rFonts w:ascii="黑体"/>
                <w:spacing w:val="-5"/>
                <w:sz w:val="32"/>
              </w:rPr>
              <w:t>15</w:t>
            </w:r>
          </w:p>
        </w:tc>
        <w:tc>
          <w:tcPr>
            <w:tcW w:w="1949"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6" w:right="97"/>
              <w:jc w:val="both"/>
              <w:rPr>
                <w:sz w:val="24"/>
              </w:rPr>
            </w:pPr>
            <w:r>
              <w:rPr>
                <w:spacing w:val="-2"/>
                <w:sz w:val="24"/>
              </w:rPr>
              <w:t>擅自改变建筑物及其附属设施用</w:t>
            </w:r>
            <w:r>
              <w:rPr>
                <w:spacing w:val="-10"/>
                <w:sz w:val="24"/>
              </w:rPr>
              <w:t>途</w:t>
            </w:r>
          </w:p>
        </w:tc>
        <w:tc>
          <w:tcPr>
            <w:tcW w:w="4917" w:type="dxa"/>
          </w:tcPr>
          <w:p>
            <w:pPr>
              <w:pStyle w:val="10"/>
              <w:rPr>
                <w:rFonts w:ascii="PMingLiU"/>
                <w:sz w:val="24"/>
              </w:rPr>
            </w:pPr>
          </w:p>
          <w:p>
            <w:pPr>
              <w:pStyle w:val="10"/>
              <w:rPr>
                <w:rFonts w:ascii="PMingLiU"/>
                <w:sz w:val="24"/>
              </w:rPr>
            </w:pPr>
          </w:p>
          <w:p>
            <w:pPr>
              <w:pStyle w:val="10"/>
              <w:spacing w:before="210" w:line="312" w:lineRule="auto"/>
              <w:ind w:left="108" w:right="94"/>
              <w:jc w:val="both"/>
              <w:rPr>
                <w:sz w:val="24"/>
              </w:rPr>
            </w:pPr>
            <w:r>
              <w:rPr>
                <w:spacing w:val="-11"/>
                <w:sz w:val="24"/>
              </w:rPr>
              <w:t>《安徽省物业管理条例》第七十九条第一款第</w:t>
            </w:r>
            <w:r>
              <w:rPr>
                <w:spacing w:val="-6"/>
                <w:sz w:val="24"/>
              </w:rPr>
              <w:t>四项：（四）违反法律、法规和管理规约，以</w:t>
            </w:r>
            <w:r>
              <w:rPr>
                <w:spacing w:val="-10"/>
                <w:sz w:val="24"/>
              </w:rPr>
              <w:t>及未经有利害关系的业主同意，改变建筑物及</w:t>
            </w:r>
            <w:r>
              <w:rPr>
                <w:spacing w:val="-2"/>
                <w:sz w:val="24"/>
              </w:rPr>
              <w:t>其附属设施的用途。</w:t>
            </w:r>
          </w:p>
        </w:tc>
        <w:tc>
          <w:tcPr>
            <w:tcW w:w="4954" w:type="dxa"/>
          </w:tcPr>
          <w:p>
            <w:pPr>
              <w:pStyle w:val="10"/>
              <w:spacing w:before="80" w:line="312" w:lineRule="auto"/>
              <w:ind w:left="106" w:right="97"/>
              <w:jc w:val="both"/>
              <w:rPr>
                <w:sz w:val="24"/>
              </w:rPr>
            </w:pPr>
            <w:r>
              <w:rPr>
                <w:spacing w:val="-4"/>
                <w:sz w:val="24"/>
              </w:rPr>
              <w:t>《安徽省物业管理条例》第一百条第三款：违</w:t>
            </w:r>
            <w:r>
              <w:rPr>
                <w:spacing w:val="-6"/>
                <w:sz w:val="24"/>
              </w:rPr>
              <w:t>反本条例第七十九条第一款第四项规定，擅自</w:t>
            </w:r>
            <w:r>
              <w:rPr>
                <w:spacing w:val="-7"/>
                <w:sz w:val="24"/>
              </w:rPr>
              <w:t>改变建筑物及其附属设施用途的，由业主委员</w:t>
            </w:r>
            <w:r>
              <w:rPr>
                <w:spacing w:val="-4"/>
                <w:sz w:val="24"/>
              </w:rPr>
              <w:t>会根据管理规约约定进行协调、处理；协调处</w:t>
            </w:r>
            <w:r>
              <w:rPr>
                <w:spacing w:val="-10"/>
                <w:sz w:val="24"/>
              </w:rPr>
              <w:t>理不成的，由物业管理行政主管部门或者其他</w:t>
            </w:r>
            <w:r>
              <w:rPr>
                <w:spacing w:val="-6"/>
                <w:sz w:val="24"/>
              </w:rPr>
              <w:t>依法行使监督管理权的部门责令限期改正、恢</w:t>
            </w:r>
            <w:r>
              <w:rPr>
                <w:spacing w:val="-5"/>
                <w:sz w:val="24"/>
              </w:rPr>
              <w:t>复原状；情节严重的，可处以五千元以上二万</w:t>
            </w:r>
          </w:p>
          <w:p>
            <w:pPr>
              <w:pStyle w:val="10"/>
              <w:spacing w:before="2" w:line="297" w:lineRule="exact"/>
              <w:ind w:left="106"/>
              <w:rPr>
                <w:sz w:val="24"/>
              </w:rPr>
            </w:pPr>
            <w:r>
              <w:rPr>
                <w:spacing w:val="-2"/>
                <w:sz w:val="24"/>
              </w:rPr>
              <w:t>元以下的罚款。</w:t>
            </w:r>
          </w:p>
        </w:tc>
        <w:tc>
          <w:tcPr>
            <w:tcW w:w="1340"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6" w:right="95"/>
              <w:jc w:val="both"/>
              <w:rPr>
                <w:sz w:val="24"/>
              </w:rPr>
            </w:pPr>
            <w:r>
              <w:rPr>
                <w:spacing w:val="38"/>
                <w:sz w:val="24"/>
              </w:rPr>
              <w:t>市县物业</w:t>
            </w:r>
            <w:r>
              <w:rPr>
                <w:spacing w:val="36"/>
                <w:sz w:val="24"/>
              </w:rPr>
              <w:t>管理行政</w:t>
            </w:r>
            <w:r>
              <w:rPr>
                <w:spacing w:val="-4"/>
                <w:sz w:val="24"/>
              </w:rPr>
              <w:t>主管部门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trPr>
        <w:tc>
          <w:tcPr>
            <w:tcW w:w="785" w:type="dxa"/>
          </w:tcPr>
          <w:p>
            <w:pPr>
              <w:pStyle w:val="10"/>
              <w:rPr>
                <w:rFonts w:ascii="PMingLiU"/>
                <w:sz w:val="32"/>
              </w:rPr>
            </w:pPr>
          </w:p>
          <w:p>
            <w:pPr>
              <w:pStyle w:val="10"/>
              <w:spacing w:before="1"/>
              <w:rPr>
                <w:rFonts w:ascii="PMingLiU"/>
                <w:sz w:val="46"/>
              </w:rPr>
            </w:pPr>
          </w:p>
          <w:p>
            <w:pPr>
              <w:pStyle w:val="10"/>
              <w:ind w:right="221"/>
              <w:jc w:val="right"/>
              <w:rPr>
                <w:rFonts w:ascii="黑体"/>
                <w:sz w:val="32"/>
              </w:rPr>
            </w:pPr>
            <w:r>
              <w:rPr>
                <w:rFonts w:ascii="黑体"/>
                <w:spacing w:val="-5"/>
                <w:sz w:val="32"/>
              </w:rPr>
              <w:t>16</w:t>
            </w:r>
          </w:p>
        </w:tc>
        <w:tc>
          <w:tcPr>
            <w:tcW w:w="1949" w:type="dxa"/>
          </w:tcPr>
          <w:p>
            <w:pPr>
              <w:pStyle w:val="10"/>
              <w:rPr>
                <w:rFonts w:ascii="PMingLiU"/>
                <w:sz w:val="24"/>
              </w:rPr>
            </w:pPr>
          </w:p>
          <w:p>
            <w:pPr>
              <w:pStyle w:val="10"/>
              <w:spacing w:before="7"/>
              <w:rPr>
                <w:rFonts w:ascii="PMingLiU"/>
                <w:sz w:val="31"/>
              </w:rPr>
            </w:pPr>
          </w:p>
          <w:p>
            <w:pPr>
              <w:pStyle w:val="10"/>
              <w:spacing w:line="312" w:lineRule="auto"/>
              <w:ind w:left="106" w:right="97"/>
              <w:jc w:val="both"/>
              <w:rPr>
                <w:sz w:val="24"/>
              </w:rPr>
            </w:pPr>
            <w:r>
              <w:rPr>
                <w:spacing w:val="-2"/>
                <w:sz w:val="24"/>
              </w:rPr>
              <w:t>建设单位（开发商）拒绝出租车</w:t>
            </w:r>
            <w:r>
              <w:rPr>
                <w:spacing w:val="-4"/>
                <w:sz w:val="24"/>
              </w:rPr>
              <w:t>位、车库</w:t>
            </w:r>
          </w:p>
        </w:tc>
        <w:tc>
          <w:tcPr>
            <w:tcW w:w="4917" w:type="dxa"/>
          </w:tcPr>
          <w:p>
            <w:pPr>
              <w:pStyle w:val="10"/>
              <w:spacing w:before="176" w:line="312" w:lineRule="auto"/>
              <w:ind w:left="108" w:right="-15"/>
              <w:rPr>
                <w:sz w:val="24"/>
              </w:rPr>
            </w:pPr>
            <w:r>
              <w:rPr>
                <w:spacing w:val="-10"/>
                <w:sz w:val="24"/>
              </w:rPr>
              <w:t>《安徽省物业管理条例》第八十二条：物业管</w:t>
            </w:r>
            <w:r>
              <w:rPr>
                <w:spacing w:val="-2"/>
                <w:sz w:val="24"/>
              </w:rPr>
              <w:t>理区域内规划用于停放汽车的车位、车库的，</w:t>
            </w:r>
            <w:r>
              <w:rPr>
                <w:spacing w:val="-9"/>
                <w:sz w:val="24"/>
              </w:rPr>
              <w:t>应当首先满足本区域内业主的需要，其归属由</w:t>
            </w:r>
            <w:r>
              <w:rPr>
                <w:spacing w:val="-2"/>
                <w:sz w:val="24"/>
              </w:rPr>
              <w:t>当事人通过出售、附赠或者出租等方式约定。</w:t>
            </w:r>
            <w:r>
              <w:rPr>
                <w:spacing w:val="-6"/>
                <w:sz w:val="24"/>
              </w:rPr>
              <w:t>建设单位未出售或者未附赠的车位、车库，应</w:t>
            </w:r>
          </w:p>
          <w:p>
            <w:pPr>
              <w:pStyle w:val="10"/>
              <w:ind w:left="108" w:right="-29"/>
              <w:rPr>
                <w:sz w:val="24"/>
              </w:rPr>
            </w:pPr>
            <w:r>
              <w:rPr>
                <w:spacing w:val="-17"/>
                <w:sz w:val="24"/>
              </w:rPr>
              <w:t>当公开；业主要求承租的，建设单位不得拒绝。</w:t>
            </w:r>
          </w:p>
        </w:tc>
        <w:tc>
          <w:tcPr>
            <w:tcW w:w="4954" w:type="dxa"/>
          </w:tcPr>
          <w:p>
            <w:pPr>
              <w:pStyle w:val="10"/>
              <w:rPr>
                <w:rFonts w:ascii="PMingLiU"/>
                <w:sz w:val="24"/>
              </w:rPr>
            </w:pPr>
          </w:p>
          <w:p>
            <w:pPr>
              <w:pStyle w:val="10"/>
              <w:spacing w:before="3"/>
              <w:rPr>
                <w:rFonts w:ascii="PMingLiU"/>
                <w:sz w:val="17"/>
              </w:rPr>
            </w:pPr>
          </w:p>
          <w:p>
            <w:pPr>
              <w:pStyle w:val="10"/>
              <w:spacing w:line="312" w:lineRule="auto"/>
              <w:ind w:left="106" w:right="97"/>
              <w:jc w:val="both"/>
              <w:rPr>
                <w:sz w:val="24"/>
              </w:rPr>
            </w:pPr>
            <w:r>
              <w:rPr>
                <w:spacing w:val="-4"/>
                <w:sz w:val="24"/>
              </w:rPr>
              <w:t>《安徽省物业管理条例》第一百零一条：违反</w:t>
            </w:r>
            <w:r>
              <w:rPr>
                <w:spacing w:val="-8"/>
                <w:sz w:val="24"/>
              </w:rPr>
              <w:t>本条例第八十二条规定，建设单位拒绝出租车</w:t>
            </w:r>
            <w:r>
              <w:rPr>
                <w:spacing w:val="-4"/>
                <w:sz w:val="24"/>
              </w:rPr>
              <w:t>位、车库的，由县级人民政府物业管理行政主</w:t>
            </w:r>
            <w:r>
              <w:rPr>
                <w:spacing w:val="-2"/>
                <w:sz w:val="24"/>
              </w:rPr>
              <w:t>管部门责令限期改正。</w:t>
            </w:r>
          </w:p>
        </w:tc>
        <w:tc>
          <w:tcPr>
            <w:tcW w:w="1340" w:type="dxa"/>
          </w:tcPr>
          <w:p>
            <w:pPr>
              <w:pStyle w:val="10"/>
              <w:rPr>
                <w:rFonts w:ascii="PMingLiU"/>
                <w:sz w:val="24"/>
              </w:rPr>
            </w:pPr>
          </w:p>
          <w:p>
            <w:pPr>
              <w:pStyle w:val="10"/>
              <w:spacing w:before="7"/>
              <w:rPr>
                <w:rFonts w:ascii="PMingLiU"/>
                <w:sz w:val="31"/>
              </w:rPr>
            </w:pPr>
          </w:p>
          <w:p>
            <w:pPr>
              <w:pStyle w:val="10"/>
              <w:spacing w:line="312" w:lineRule="auto"/>
              <w:ind w:left="106" w:right="98"/>
              <w:jc w:val="both"/>
              <w:rPr>
                <w:sz w:val="24"/>
              </w:rPr>
            </w:pPr>
            <w:r>
              <w:rPr>
                <w:spacing w:val="36"/>
                <w:sz w:val="24"/>
              </w:rPr>
              <w:t>县级物业管理行政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7" w:hRule="atLeast"/>
        </w:trPr>
        <w:tc>
          <w:tcPr>
            <w:tcW w:w="785" w:type="dxa"/>
          </w:tcPr>
          <w:p>
            <w:pPr>
              <w:pStyle w:val="10"/>
              <w:rPr>
                <w:rFonts w:ascii="PMingLiU"/>
                <w:sz w:val="32"/>
              </w:rPr>
            </w:pPr>
          </w:p>
          <w:p>
            <w:pPr>
              <w:pStyle w:val="10"/>
              <w:rPr>
                <w:rFonts w:ascii="PMingLiU"/>
                <w:sz w:val="32"/>
              </w:rPr>
            </w:pPr>
          </w:p>
          <w:p>
            <w:pPr>
              <w:pStyle w:val="10"/>
              <w:spacing w:before="3"/>
              <w:rPr>
                <w:rFonts w:ascii="PMingLiU"/>
                <w:sz w:val="43"/>
              </w:rPr>
            </w:pPr>
          </w:p>
          <w:p>
            <w:pPr>
              <w:pStyle w:val="10"/>
              <w:ind w:right="221"/>
              <w:jc w:val="right"/>
              <w:rPr>
                <w:rFonts w:ascii="黑体"/>
                <w:sz w:val="32"/>
              </w:rPr>
            </w:pPr>
            <w:r>
              <w:rPr>
                <w:rFonts w:ascii="黑体"/>
                <w:spacing w:val="-5"/>
                <w:sz w:val="32"/>
              </w:rPr>
              <w:t>17</w:t>
            </w:r>
          </w:p>
        </w:tc>
        <w:tc>
          <w:tcPr>
            <w:tcW w:w="1949" w:type="dxa"/>
          </w:tcPr>
          <w:p>
            <w:pPr>
              <w:pStyle w:val="10"/>
              <w:rPr>
                <w:rFonts w:ascii="PMingLiU"/>
                <w:sz w:val="24"/>
              </w:rPr>
            </w:pPr>
          </w:p>
          <w:p>
            <w:pPr>
              <w:pStyle w:val="10"/>
              <w:spacing w:before="1"/>
              <w:rPr>
                <w:rFonts w:ascii="PMingLiU"/>
                <w:sz w:val="32"/>
              </w:rPr>
            </w:pPr>
          </w:p>
          <w:p>
            <w:pPr>
              <w:pStyle w:val="10"/>
              <w:spacing w:before="1" w:line="312" w:lineRule="auto"/>
              <w:ind w:left="106" w:right="97"/>
              <w:jc w:val="both"/>
              <w:rPr>
                <w:sz w:val="24"/>
              </w:rPr>
            </w:pPr>
            <w:r>
              <w:rPr>
                <w:spacing w:val="-2"/>
                <w:sz w:val="24"/>
              </w:rPr>
              <w:t>发现装修人或者装饰装修企业有违规装饰装修行为不及时向有关</w:t>
            </w:r>
            <w:r>
              <w:rPr>
                <w:spacing w:val="-4"/>
                <w:sz w:val="24"/>
              </w:rPr>
              <w:t>部门报告</w:t>
            </w:r>
          </w:p>
        </w:tc>
        <w:tc>
          <w:tcPr>
            <w:tcW w:w="4917" w:type="dxa"/>
          </w:tcPr>
          <w:p>
            <w:pPr>
              <w:pStyle w:val="10"/>
              <w:spacing w:before="185" w:line="312" w:lineRule="auto"/>
              <w:ind w:left="108" w:right="94"/>
              <w:jc w:val="both"/>
              <w:rPr>
                <w:sz w:val="24"/>
              </w:rPr>
            </w:pPr>
            <w:r>
              <w:rPr>
                <w:spacing w:val="-8"/>
                <w:sz w:val="24"/>
              </w:rPr>
              <w:t>《住宅室内装饰装修管理办法》第十七条：物</w:t>
            </w:r>
            <w:r>
              <w:rPr>
                <w:spacing w:val="-2"/>
                <w:sz w:val="24"/>
              </w:rPr>
              <w:t>业管理单位应当按照住宅室内装饰装修管理</w:t>
            </w:r>
            <w:r>
              <w:rPr>
                <w:spacing w:val="-12"/>
                <w:sz w:val="24"/>
              </w:rPr>
              <w:t>服务协议实施管理，发现装修人或者装饰装修</w:t>
            </w:r>
            <w:r>
              <w:rPr>
                <w:spacing w:val="-10"/>
                <w:sz w:val="24"/>
              </w:rPr>
              <w:t>企业有本办法第五条行为的，或者未经有关部</w:t>
            </w:r>
            <w:r>
              <w:rPr>
                <w:spacing w:val="-8"/>
                <w:sz w:val="24"/>
              </w:rPr>
              <w:t>门批准实施本办法第六条所列行为的，或者有</w:t>
            </w:r>
            <w:r>
              <w:rPr>
                <w:spacing w:val="-12"/>
                <w:sz w:val="24"/>
              </w:rPr>
              <w:t>违反本办法第七条、第八条、第九条规定行为</w:t>
            </w:r>
            <w:r>
              <w:rPr>
                <w:spacing w:val="-13"/>
                <w:sz w:val="24"/>
              </w:rPr>
              <w:t>的，应当立即制止；已造成事实后果或者拒不</w:t>
            </w:r>
            <w:r>
              <w:rPr>
                <w:spacing w:val="-2"/>
                <w:sz w:val="24"/>
              </w:rPr>
              <w:t>改正的，应当及时报告有关部门依法处理。</w:t>
            </w:r>
          </w:p>
        </w:tc>
        <w:tc>
          <w:tcPr>
            <w:tcW w:w="4954" w:type="dxa"/>
          </w:tcPr>
          <w:p>
            <w:pPr>
              <w:pStyle w:val="10"/>
              <w:rPr>
                <w:rFonts w:ascii="PMingLiU"/>
                <w:sz w:val="24"/>
              </w:rPr>
            </w:pPr>
          </w:p>
          <w:p>
            <w:pPr>
              <w:pStyle w:val="10"/>
              <w:spacing w:before="10"/>
              <w:rPr>
                <w:rFonts w:ascii="PMingLiU"/>
                <w:sz w:val="17"/>
              </w:rPr>
            </w:pPr>
          </w:p>
          <w:p>
            <w:pPr>
              <w:pStyle w:val="10"/>
              <w:spacing w:line="312" w:lineRule="auto"/>
              <w:ind w:left="106" w:right="35"/>
              <w:jc w:val="both"/>
              <w:rPr>
                <w:sz w:val="24"/>
              </w:rPr>
            </w:pPr>
            <w:r>
              <w:rPr>
                <w:spacing w:val="-2"/>
                <w:sz w:val="24"/>
              </w:rPr>
              <w:t>《住宅室内装饰装修管理办法》第四十二条：</w:t>
            </w:r>
            <w:r>
              <w:rPr>
                <w:sz w:val="24"/>
              </w:rPr>
              <w:t>物业管理单位发现装修人或者装饰装修企业有违反本办法规定的行为不及时向有关部门</w:t>
            </w:r>
            <w:r>
              <w:rPr>
                <w:spacing w:val="-2"/>
                <w:sz w:val="24"/>
              </w:rPr>
              <w:t>报告的，由房地产行政主管部门给予警告，可</w:t>
            </w:r>
            <w:r>
              <w:rPr>
                <w:sz w:val="24"/>
              </w:rPr>
              <w:t>处装饰装修管理服务协议约定的装饰装修管</w:t>
            </w:r>
            <w:r>
              <w:rPr>
                <w:spacing w:val="-5"/>
                <w:sz w:val="24"/>
              </w:rPr>
              <w:t xml:space="preserve">理服务费 </w:t>
            </w:r>
            <w:r>
              <w:rPr>
                <w:sz w:val="24"/>
              </w:rPr>
              <w:t>2</w:t>
            </w:r>
            <w:r>
              <w:rPr>
                <w:spacing w:val="-15"/>
                <w:sz w:val="24"/>
              </w:rPr>
              <w:t xml:space="preserve"> 至 </w:t>
            </w:r>
            <w:r>
              <w:rPr>
                <w:sz w:val="24"/>
              </w:rPr>
              <w:t>3</w:t>
            </w:r>
            <w:r>
              <w:rPr>
                <w:spacing w:val="-5"/>
                <w:sz w:val="24"/>
              </w:rPr>
              <w:t xml:space="preserve"> 倍的罚款。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76" w:line="312" w:lineRule="auto"/>
              <w:ind w:left="106" w:right="98"/>
              <w:jc w:val="both"/>
              <w:rPr>
                <w:sz w:val="24"/>
              </w:rPr>
            </w:pPr>
            <w:r>
              <w:rPr>
                <w:spacing w:val="36"/>
                <w:sz w:val="24"/>
              </w:rPr>
              <w:t>市县房地产行政主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785" w:type="dxa"/>
          </w:tcPr>
          <w:p>
            <w:pPr>
              <w:pStyle w:val="10"/>
              <w:rPr>
                <w:rFonts w:ascii="PMingLiU"/>
                <w:sz w:val="32"/>
              </w:rPr>
            </w:pPr>
          </w:p>
          <w:p>
            <w:pPr>
              <w:pStyle w:val="10"/>
              <w:spacing w:before="3"/>
              <w:rPr>
                <w:rFonts w:ascii="PMingLiU"/>
                <w:sz w:val="39"/>
              </w:rPr>
            </w:pPr>
          </w:p>
          <w:p>
            <w:pPr>
              <w:pStyle w:val="10"/>
              <w:ind w:right="221"/>
              <w:jc w:val="right"/>
              <w:rPr>
                <w:rFonts w:ascii="黑体"/>
                <w:sz w:val="32"/>
              </w:rPr>
            </w:pPr>
            <w:r>
              <w:rPr>
                <w:rFonts w:ascii="黑体"/>
                <w:spacing w:val="-5"/>
                <w:sz w:val="32"/>
              </w:rPr>
              <w:t>18</w:t>
            </w:r>
          </w:p>
        </w:tc>
        <w:tc>
          <w:tcPr>
            <w:tcW w:w="1949" w:type="dxa"/>
          </w:tcPr>
          <w:p>
            <w:pPr>
              <w:pStyle w:val="10"/>
              <w:spacing w:before="80" w:line="312" w:lineRule="auto"/>
              <w:ind w:left="106" w:right="97"/>
              <w:jc w:val="both"/>
              <w:rPr>
                <w:sz w:val="24"/>
              </w:rPr>
            </w:pPr>
            <w:r>
              <w:rPr>
                <w:spacing w:val="-2"/>
                <w:sz w:val="24"/>
              </w:rPr>
              <w:t>开发建设单位未按照尚未售出商品住宅或者公有</w:t>
            </w:r>
            <w:r>
              <w:rPr>
                <w:spacing w:val="13"/>
                <w:w w:val="95"/>
                <w:sz w:val="24"/>
              </w:rPr>
              <w:t>住房 的建 筑面</w:t>
            </w:r>
            <w:r>
              <w:rPr>
                <w:spacing w:val="-2"/>
                <w:sz w:val="24"/>
              </w:rPr>
              <w:t>积，分摊维修、</w:t>
            </w:r>
          </w:p>
          <w:p>
            <w:pPr>
              <w:pStyle w:val="10"/>
              <w:spacing w:before="3" w:line="296" w:lineRule="exact"/>
              <w:ind w:left="106"/>
              <w:rPr>
                <w:sz w:val="24"/>
              </w:rPr>
            </w:pPr>
            <w:r>
              <w:rPr>
                <w:spacing w:val="-2"/>
                <w:sz w:val="24"/>
              </w:rPr>
              <w:t>更新和改造费用</w:t>
            </w:r>
          </w:p>
        </w:tc>
        <w:tc>
          <w:tcPr>
            <w:tcW w:w="4917" w:type="dxa"/>
          </w:tcPr>
          <w:p>
            <w:pPr>
              <w:pStyle w:val="10"/>
              <w:spacing w:before="80" w:line="312" w:lineRule="auto"/>
              <w:ind w:left="108" w:right="-15"/>
              <w:rPr>
                <w:sz w:val="24"/>
              </w:rPr>
            </w:pPr>
            <w:r>
              <w:rPr>
                <w:spacing w:val="-2"/>
                <w:sz w:val="24"/>
              </w:rPr>
              <w:t>《住宅专项维修资金管理办法》第二十一条：</w:t>
            </w:r>
            <w:r>
              <w:rPr>
                <w:spacing w:val="-9"/>
                <w:sz w:val="24"/>
              </w:rPr>
              <w:t>住宅共用部位、共用设施设备维修和更新、改</w:t>
            </w:r>
            <w:r>
              <w:rPr>
                <w:spacing w:val="-13"/>
                <w:sz w:val="24"/>
              </w:rPr>
              <w:t>造，涉及尚未售出的商品住宅、非住宅或者公有住房的，开发建设单位或者公有住房单位应</w:t>
            </w:r>
            <w:r>
              <w:rPr>
                <w:spacing w:val="-2"/>
                <w:sz w:val="24"/>
              </w:rPr>
              <w:t>当按照尚未售出商品住宅或者公有住房的建</w:t>
            </w:r>
          </w:p>
          <w:p>
            <w:pPr>
              <w:pStyle w:val="10"/>
              <w:spacing w:before="3" w:line="296" w:lineRule="exact"/>
              <w:ind w:left="108"/>
              <w:rPr>
                <w:sz w:val="24"/>
              </w:rPr>
            </w:pPr>
            <w:r>
              <w:rPr>
                <w:spacing w:val="-1"/>
                <w:sz w:val="24"/>
              </w:rPr>
              <w:t>筑面积，分摊维修和更新、改造费用。</w:t>
            </w:r>
          </w:p>
        </w:tc>
        <w:tc>
          <w:tcPr>
            <w:tcW w:w="4954" w:type="dxa"/>
          </w:tcPr>
          <w:p>
            <w:pPr>
              <w:pStyle w:val="10"/>
              <w:spacing w:before="80" w:line="312" w:lineRule="auto"/>
              <w:ind w:left="106" w:right="97"/>
              <w:jc w:val="both"/>
              <w:rPr>
                <w:sz w:val="24"/>
              </w:rPr>
            </w:pPr>
            <w:r>
              <w:rPr>
                <w:spacing w:val="-7"/>
                <w:sz w:val="24"/>
              </w:rPr>
              <w:t>《住宅专项维修基金管理办法》第三十六条第</w:t>
            </w:r>
            <w:r>
              <w:rPr>
                <w:spacing w:val="-10"/>
                <w:sz w:val="24"/>
              </w:rPr>
              <w:t>二款：开发建设单位未按本办法第二十一条规</w:t>
            </w:r>
            <w:r>
              <w:rPr>
                <w:spacing w:val="-4"/>
                <w:sz w:val="24"/>
              </w:rPr>
              <w:t>定分摊维修、更新和改造费用的，由县级以上地方人民政府建设（房地产）主管部门责令限</w:t>
            </w:r>
            <w:r>
              <w:rPr>
                <w:spacing w:val="-8"/>
                <w:sz w:val="24"/>
              </w:rPr>
              <w:t xml:space="preserve">期改正；逾期不改正的，处以 </w:t>
            </w:r>
            <w:r>
              <w:rPr>
                <w:spacing w:val="-4"/>
                <w:sz w:val="24"/>
              </w:rPr>
              <w:t>1</w:t>
            </w:r>
            <w:r>
              <w:rPr>
                <w:spacing w:val="-14"/>
                <w:sz w:val="24"/>
              </w:rPr>
              <w:t xml:space="preserve"> 万元以下的罚</w:t>
            </w:r>
          </w:p>
          <w:p>
            <w:pPr>
              <w:pStyle w:val="10"/>
              <w:spacing w:before="3" w:line="296" w:lineRule="exact"/>
              <w:ind w:left="106"/>
              <w:rPr>
                <w:sz w:val="24"/>
              </w:rPr>
            </w:pPr>
            <w:r>
              <w:rPr>
                <w:spacing w:val="-5"/>
                <w:sz w:val="24"/>
              </w:rPr>
              <w:t>款。</w:t>
            </w:r>
          </w:p>
        </w:tc>
        <w:tc>
          <w:tcPr>
            <w:tcW w:w="1340" w:type="dxa"/>
          </w:tcPr>
          <w:p>
            <w:pPr>
              <w:pStyle w:val="10"/>
              <w:spacing w:before="5"/>
              <w:rPr>
                <w:rFonts w:ascii="PMingLiU"/>
                <w:sz w:val="34"/>
              </w:rPr>
            </w:pPr>
          </w:p>
          <w:p>
            <w:pPr>
              <w:pStyle w:val="10"/>
              <w:spacing w:line="312" w:lineRule="auto"/>
              <w:ind w:left="106" w:right="98"/>
              <w:jc w:val="both"/>
              <w:rPr>
                <w:sz w:val="24"/>
              </w:rPr>
            </w:pPr>
            <w:r>
              <w:rPr>
                <w:spacing w:val="36"/>
                <w:sz w:val="24"/>
              </w:rPr>
              <w:t>县级以上房地产行政主管部</w:t>
            </w:r>
            <w:r>
              <w:rPr>
                <w:spacing w:val="-10"/>
                <w:sz w:val="24"/>
              </w:rPr>
              <w:t>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785" w:type="dxa"/>
          </w:tcPr>
          <w:p>
            <w:pPr>
              <w:pStyle w:val="10"/>
              <w:rPr>
                <w:rFonts w:ascii="PMingLiU"/>
                <w:sz w:val="32"/>
              </w:rPr>
            </w:pPr>
          </w:p>
          <w:p>
            <w:pPr>
              <w:pStyle w:val="10"/>
              <w:rPr>
                <w:rFonts w:ascii="PMingLiU"/>
                <w:sz w:val="32"/>
              </w:rPr>
            </w:pPr>
          </w:p>
          <w:p>
            <w:pPr>
              <w:pStyle w:val="10"/>
              <w:spacing w:before="11"/>
              <w:rPr>
                <w:rFonts w:ascii="PMingLiU"/>
                <w:sz w:val="26"/>
              </w:rPr>
            </w:pPr>
          </w:p>
          <w:p>
            <w:pPr>
              <w:pStyle w:val="10"/>
              <w:ind w:right="221"/>
              <w:jc w:val="right"/>
              <w:rPr>
                <w:rFonts w:ascii="黑体"/>
                <w:sz w:val="32"/>
              </w:rPr>
            </w:pPr>
            <w:r>
              <w:rPr>
                <w:rFonts w:ascii="黑体"/>
                <w:spacing w:val="-5"/>
                <w:sz w:val="32"/>
              </w:rPr>
              <w:t>19</w:t>
            </w:r>
          </w:p>
        </w:tc>
        <w:tc>
          <w:tcPr>
            <w:tcW w:w="1949" w:type="dxa"/>
          </w:tcPr>
          <w:p>
            <w:pPr>
              <w:pStyle w:val="10"/>
              <w:rPr>
                <w:rFonts w:ascii="PMingLiU"/>
                <w:sz w:val="24"/>
              </w:rPr>
            </w:pPr>
          </w:p>
          <w:p>
            <w:pPr>
              <w:pStyle w:val="10"/>
              <w:spacing w:before="13"/>
              <w:rPr>
                <w:rFonts w:ascii="PMingLiU"/>
                <w:sz w:val="29"/>
              </w:rPr>
            </w:pPr>
          </w:p>
          <w:p>
            <w:pPr>
              <w:pStyle w:val="10"/>
              <w:spacing w:line="312" w:lineRule="auto"/>
              <w:ind w:left="106" w:right="97"/>
              <w:jc w:val="both"/>
              <w:rPr>
                <w:sz w:val="24"/>
              </w:rPr>
            </w:pPr>
            <w:r>
              <w:rPr>
                <w:spacing w:val="-2"/>
                <w:sz w:val="24"/>
              </w:rPr>
              <w:t>建设单位擅自处</w:t>
            </w:r>
            <w:r>
              <w:rPr>
                <w:spacing w:val="-12"/>
                <w:w w:val="95"/>
                <w:sz w:val="24"/>
              </w:rPr>
              <w:t xml:space="preserve">分 </w:t>
            </w:r>
            <w:r>
              <w:rPr>
                <w:spacing w:val="57"/>
                <w:w w:val="95"/>
                <w:sz w:val="24"/>
              </w:rPr>
              <w:t>业主共</w:t>
            </w:r>
            <w:r>
              <w:rPr>
                <w:spacing w:val="-8"/>
                <w:w w:val="95"/>
                <w:sz w:val="24"/>
              </w:rPr>
              <w:t>用 部</w:t>
            </w:r>
            <w:r>
              <w:rPr>
                <w:spacing w:val="-2"/>
                <w:sz w:val="24"/>
              </w:rPr>
              <w:t>位、共用设施设</w:t>
            </w:r>
            <w:r>
              <w:rPr>
                <w:spacing w:val="-10"/>
                <w:sz w:val="24"/>
              </w:rPr>
              <w:t>备</w:t>
            </w:r>
          </w:p>
        </w:tc>
        <w:tc>
          <w:tcPr>
            <w:tcW w:w="4917" w:type="dxa"/>
          </w:tcPr>
          <w:p>
            <w:pPr>
              <w:pStyle w:val="10"/>
              <w:rPr>
                <w:rFonts w:ascii="PMingLiU"/>
                <w:sz w:val="24"/>
              </w:rPr>
            </w:pPr>
          </w:p>
          <w:p>
            <w:pPr>
              <w:pStyle w:val="10"/>
              <w:rPr>
                <w:rFonts w:ascii="PMingLiU"/>
                <w:sz w:val="24"/>
              </w:rPr>
            </w:pPr>
          </w:p>
          <w:p>
            <w:pPr>
              <w:pStyle w:val="10"/>
              <w:spacing w:before="2"/>
              <w:rPr>
                <w:rFonts w:ascii="PMingLiU"/>
                <w:sz w:val="20"/>
              </w:rPr>
            </w:pPr>
          </w:p>
          <w:p>
            <w:pPr>
              <w:pStyle w:val="10"/>
              <w:spacing w:before="1" w:line="312" w:lineRule="auto"/>
              <w:ind w:left="108" w:right="97"/>
              <w:jc w:val="both"/>
              <w:rPr>
                <w:sz w:val="24"/>
              </w:rPr>
            </w:pPr>
            <w:r>
              <w:rPr>
                <w:spacing w:val="-12"/>
                <w:sz w:val="24"/>
              </w:rPr>
              <w:t>《物业管理条例》第二十七条：业主依法享有的物业共用部位、共用设施设备的所有权或者</w:t>
            </w:r>
            <w:r>
              <w:rPr>
                <w:spacing w:val="-2"/>
                <w:sz w:val="24"/>
              </w:rPr>
              <w:t>使用权，建设单位不得擅自处分。</w:t>
            </w:r>
          </w:p>
        </w:tc>
        <w:tc>
          <w:tcPr>
            <w:tcW w:w="4954" w:type="dxa"/>
          </w:tcPr>
          <w:p>
            <w:pPr>
              <w:pStyle w:val="10"/>
              <w:spacing w:before="4"/>
              <w:rPr>
                <w:rFonts w:ascii="PMingLiU"/>
                <w:sz w:val="25"/>
              </w:rPr>
            </w:pPr>
          </w:p>
          <w:p>
            <w:pPr>
              <w:pStyle w:val="10"/>
              <w:spacing w:line="312" w:lineRule="auto"/>
              <w:ind w:left="106" w:right="35"/>
              <w:jc w:val="both"/>
              <w:rPr>
                <w:sz w:val="24"/>
              </w:rPr>
            </w:pPr>
            <w:r>
              <w:rPr>
                <w:spacing w:val="-6"/>
                <w:sz w:val="24"/>
              </w:rPr>
              <w:t>《物业管理条例》第五十七条：违反本条例的</w:t>
            </w:r>
            <w:r>
              <w:rPr>
                <w:spacing w:val="-9"/>
                <w:sz w:val="24"/>
              </w:rPr>
              <w:t>规定，建设单位擅自处分属于业主的物业共用</w:t>
            </w:r>
            <w:r>
              <w:rPr>
                <w:spacing w:val="-10"/>
                <w:sz w:val="24"/>
              </w:rPr>
              <w:t>部位、共用设施设备的所有权或者使用权的，</w:t>
            </w:r>
            <w:r>
              <w:rPr>
                <w:spacing w:val="8"/>
                <w:sz w:val="24"/>
              </w:rPr>
              <w:t>由县级以上地方人民政府房地产行政主管部</w:t>
            </w:r>
            <w:r>
              <w:rPr>
                <w:spacing w:val="-18"/>
                <w:sz w:val="24"/>
              </w:rPr>
              <w:t xml:space="preserve">门处 </w:t>
            </w:r>
            <w:r>
              <w:rPr>
                <w:sz w:val="24"/>
              </w:rPr>
              <w:t>5</w:t>
            </w:r>
            <w:r>
              <w:rPr>
                <w:spacing w:val="-19"/>
                <w:sz w:val="24"/>
              </w:rPr>
              <w:t xml:space="preserve"> 万元以上 </w:t>
            </w:r>
            <w:r>
              <w:rPr>
                <w:sz w:val="24"/>
              </w:rPr>
              <w:t>20</w:t>
            </w:r>
            <w:r>
              <w:rPr>
                <w:spacing w:val="-5"/>
                <w:sz w:val="24"/>
              </w:rPr>
              <w:t xml:space="preserve"> 万元以下的罚款；给业主造成损失的，依法承担赔偿责任。</w:t>
            </w:r>
          </w:p>
        </w:tc>
        <w:tc>
          <w:tcPr>
            <w:tcW w:w="1340" w:type="dxa"/>
          </w:tcPr>
          <w:p>
            <w:pPr>
              <w:pStyle w:val="10"/>
              <w:rPr>
                <w:rFonts w:ascii="PMingLiU"/>
                <w:sz w:val="24"/>
              </w:rPr>
            </w:pPr>
          </w:p>
          <w:p>
            <w:pPr>
              <w:pStyle w:val="10"/>
              <w:spacing w:before="13"/>
              <w:rPr>
                <w:rFonts w:ascii="PMingLiU"/>
                <w:sz w:val="29"/>
              </w:rPr>
            </w:pPr>
          </w:p>
          <w:p>
            <w:pPr>
              <w:pStyle w:val="10"/>
              <w:spacing w:line="312" w:lineRule="auto"/>
              <w:ind w:left="106" w:right="98"/>
              <w:jc w:val="both"/>
              <w:rPr>
                <w:sz w:val="24"/>
              </w:rPr>
            </w:pPr>
            <w:r>
              <w:rPr>
                <w:spacing w:val="36"/>
                <w:sz w:val="24"/>
              </w:rPr>
              <w:t>县级以上房地产行政主管部</w:t>
            </w:r>
            <w:r>
              <w:rPr>
                <w:spacing w:val="-10"/>
                <w:sz w:val="24"/>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5"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232"/>
              <w:ind w:right="221"/>
              <w:jc w:val="right"/>
              <w:rPr>
                <w:rFonts w:ascii="黑体"/>
                <w:sz w:val="32"/>
              </w:rPr>
            </w:pPr>
            <w:r>
              <w:rPr>
                <w:rFonts w:ascii="黑体"/>
                <w:spacing w:val="-5"/>
                <w:sz w:val="32"/>
              </w:rPr>
              <w:t>20</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19"/>
              </w:rPr>
            </w:pPr>
          </w:p>
          <w:p>
            <w:pPr>
              <w:pStyle w:val="10"/>
              <w:spacing w:line="312" w:lineRule="auto"/>
              <w:ind w:left="106" w:right="97"/>
              <w:jc w:val="both"/>
              <w:rPr>
                <w:sz w:val="24"/>
              </w:rPr>
            </w:pPr>
            <w:r>
              <w:rPr>
                <w:spacing w:val="-2"/>
                <w:sz w:val="24"/>
              </w:rPr>
              <w:t>建设单位未向物业服务企业移交物业承接验收有</w:t>
            </w:r>
            <w:r>
              <w:rPr>
                <w:spacing w:val="-4"/>
                <w:sz w:val="24"/>
              </w:rPr>
              <w:t>关资料</w:t>
            </w:r>
          </w:p>
        </w:tc>
        <w:tc>
          <w:tcPr>
            <w:tcW w:w="4917" w:type="dxa"/>
          </w:tcPr>
          <w:p>
            <w:pPr>
              <w:pStyle w:val="10"/>
              <w:spacing w:before="4"/>
              <w:rPr>
                <w:rFonts w:ascii="PMingLiU"/>
                <w:sz w:val="25"/>
              </w:rPr>
            </w:pPr>
          </w:p>
          <w:p>
            <w:pPr>
              <w:pStyle w:val="10"/>
              <w:spacing w:line="312" w:lineRule="auto"/>
              <w:ind w:left="108" w:right="97"/>
              <w:jc w:val="both"/>
              <w:rPr>
                <w:sz w:val="24"/>
              </w:rPr>
            </w:pPr>
            <w:r>
              <w:rPr>
                <w:spacing w:val="-12"/>
                <w:sz w:val="24"/>
              </w:rPr>
              <w:t>《物业管理条例》第二十九条：在办理物业承</w:t>
            </w:r>
            <w:r>
              <w:rPr>
                <w:spacing w:val="-13"/>
                <w:sz w:val="24"/>
              </w:rPr>
              <w:t>接验收手续时，建设单位应当向物业服务企业</w:t>
            </w:r>
            <w:r>
              <w:rPr>
                <w:spacing w:val="-2"/>
                <w:sz w:val="24"/>
              </w:rPr>
              <w:t>移交下列资料：</w:t>
            </w:r>
          </w:p>
          <w:p>
            <w:pPr>
              <w:pStyle w:val="10"/>
              <w:spacing w:line="312" w:lineRule="auto"/>
              <w:ind w:left="108" w:right="97"/>
              <w:jc w:val="both"/>
              <w:rPr>
                <w:sz w:val="24"/>
              </w:rPr>
            </w:pPr>
            <w:r>
              <w:rPr>
                <w:spacing w:val="-6"/>
                <w:sz w:val="24"/>
              </w:rPr>
              <w:t>(一)竣工总平面图，单体建筑、结构、设备竣</w:t>
            </w:r>
            <w:r>
              <w:rPr>
                <w:spacing w:val="-13"/>
                <w:sz w:val="24"/>
              </w:rPr>
              <w:t>工图，配套设施、地下管网工程竣工图等竣工</w:t>
            </w:r>
            <w:r>
              <w:rPr>
                <w:spacing w:val="-2"/>
                <w:sz w:val="24"/>
              </w:rPr>
              <w:t>验收资料；</w:t>
            </w:r>
          </w:p>
          <w:p>
            <w:pPr>
              <w:pStyle w:val="10"/>
              <w:spacing w:before="1" w:line="312" w:lineRule="auto"/>
              <w:ind w:left="108" w:right="97"/>
              <w:rPr>
                <w:sz w:val="24"/>
              </w:rPr>
            </w:pPr>
            <w:r>
              <w:rPr>
                <w:spacing w:val="-11"/>
                <w:sz w:val="24"/>
              </w:rPr>
              <w:t>(二)设施设备的安装、使用和维护保养等技术</w:t>
            </w:r>
            <w:r>
              <w:rPr>
                <w:spacing w:val="-4"/>
                <w:sz w:val="24"/>
              </w:rPr>
              <w:t>资料；</w:t>
            </w:r>
          </w:p>
          <w:p>
            <w:pPr>
              <w:pStyle w:val="10"/>
              <w:spacing w:before="2" w:line="312" w:lineRule="auto"/>
              <w:ind w:left="108" w:right="-15"/>
              <w:rPr>
                <w:sz w:val="24"/>
              </w:rPr>
            </w:pPr>
            <w:r>
              <w:rPr>
                <w:spacing w:val="-2"/>
                <w:sz w:val="24"/>
              </w:rPr>
              <w:t>(三)物业质量保修文件和物业使用说明文件； (四)物业管理所必需的其他资料。</w:t>
            </w:r>
          </w:p>
          <w:p>
            <w:pPr>
              <w:pStyle w:val="10"/>
              <w:spacing w:line="312" w:lineRule="auto"/>
              <w:ind w:left="108" w:right="94"/>
              <w:rPr>
                <w:sz w:val="24"/>
              </w:rPr>
            </w:pPr>
            <w:r>
              <w:rPr>
                <w:spacing w:val="-2"/>
                <w:sz w:val="24"/>
              </w:rPr>
              <w:t>物业服务企业应当在前期物业服务合同终止时将上述资料移交给业主委员会。</w:t>
            </w:r>
          </w:p>
        </w:tc>
        <w:tc>
          <w:tcPr>
            <w:tcW w:w="4954"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11" w:line="312" w:lineRule="auto"/>
              <w:ind w:left="106" w:right="97"/>
              <w:jc w:val="both"/>
              <w:rPr>
                <w:sz w:val="24"/>
              </w:rPr>
            </w:pPr>
            <w:r>
              <w:rPr>
                <w:spacing w:val="-4"/>
                <w:sz w:val="24"/>
              </w:rPr>
              <w:t>《物业管理条例》第五十八条：违反本条例的规定，不移交有关资料的，由县级以上地方人</w:t>
            </w:r>
            <w:r>
              <w:rPr>
                <w:spacing w:val="-6"/>
                <w:sz w:val="24"/>
              </w:rPr>
              <w:t>民政府房地产行政主管部门责令限期改正；逾</w:t>
            </w:r>
            <w:r>
              <w:rPr>
                <w:spacing w:val="-4"/>
                <w:sz w:val="24"/>
              </w:rPr>
              <w:t>期仍不移交有关资料的，对建设单位、物业服</w:t>
            </w:r>
            <w:r>
              <w:rPr>
                <w:w w:val="95"/>
                <w:sz w:val="24"/>
              </w:rPr>
              <w:t>务企业予以通报，处 1 万元以上 10 万元以下</w:t>
            </w:r>
            <w:r>
              <w:rPr>
                <w:spacing w:val="-4"/>
                <w:sz w:val="24"/>
              </w:rPr>
              <w:t>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19"/>
              </w:rPr>
            </w:pPr>
          </w:p>
          <w:p>
            <w:pPr>
              <w:pStyle w:val="10"/>
              <w:spacing w:line="312" w:lineRule="auto"/>
              <w:ind w:left="106" w:right="98"/>
              <w:jc w:val="both"/>
              <w:rPr>
                <w:sz w:val="24"/>
              </w:rPr>
            </w:pPr>
            <w:r>
              <w:rPr>
                <w:spacing w:val="36"/>
                <w:sz w:val="24"/>
              </w:rPr>
              <w:t>县级以上房地产行政主管部</w:t>
            </w:r>
            <w:r>
              <w:rPr>
                <w:spacing w:val="-10"/>
                <w:sz w:val="24"/>
              </w:rPr>
              <w:t>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7"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10"/>
              <w:rPr>
                <w:rFonts w:ascii="PMingLiU"/>
                <w:sz w:val="46"/>
              </w:rPr>
            </w:pPr>
          </w:p>
          <w:p>
            <w:pPr>
              <w:pStyle w:val="10"/>
              <w:ind w:right="221"/>
              <w:jc w:val="right"/>
              <w:rPr>
                <w:rFonts w:ascii="黑体"/>
                <w:sz w:val="32"/>
              </w:rPr>
            </w:pPr>
            <w:r>
              <w:rPr>
                <w:rFonts w:ascii="黑体"/>
                <w:spacing w:val="-5"/>
                <w:sz w:val="32"/>
              </w:rPr>
              <w:t>21</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8"/>
              <w:rPr>
                <w:rFonts w:ascii="PMingLiU"/>
                <w:sz w:val="27"/>
              </w:rPr>
            </w:pPr>
          </w:p>
          <w:p>
            <w:pPr>
              <w:pStyle w:val="10"/>
              <w:spacing w:before="1" w:line="312" w:lineRule="auto"/>
              <w:ind w:left="106" w:right="97"/>
              <w:jc w:val="both"/>
              <w:rPr>
                <w:sz w:val="24"/>
              </w:rPr>
            </w:pPr>
            <w:r>
              <w:rPr>
                <w:spacing w:val="-2"/>
                <w:sz w:val="24"/>
              </w:rPr>
              <w:t>前期物业服务合同终止后，物业服务企业没有向业主委员会移交</w:t>
            </w:r>
            <w:r>
              <w:rPr>
                <w:spacing w:val="-4"/>
                <w:sz w:val="24"/>
              </w:rPr>
              <w:t>有关资料</w:t>
            </w:r>
          </w:p>
        </w:tc>
        <w:tc>
          <w:tcPr>
            <w:tcW w:w="4917" w:type="dxa"/>
          </w:tcPr>
          <w:p>
            <w:pPr>
              <w:pStyle w:val="10"/>
              <w:spacing w:before="8"/>
              <w:rPr>
                <w:rFonts w:ascii="PMingLiU"/>
                <w:sz w:val="23"/>
              </w:rPr>
            </w:pPr>
          </w:p>
          <w:p>
            <w:pPr>
              <w:pStyle w:val="10"/>
              <w:spacing w:line="312" w:lineRule="auto"/>
              <w:ind w:left="108" w:right="97"/>
              <w:jc w:val="both"/>
              <w:rPr>
                <w:sz w:val="24"/>
              </w:rPr>
            </w:pPr>
            <w:r>
              <w:rPr>
                <w:spacing w:val="-12"/>
                <w:sz w:val="24"/>
              </w:rPr>
              <w:t>《物业管理条例》第二十九条：在办理物业承</w:t>
            </w:r>
            <w:r>
              <w:rPr>
                <w:spacing w:val="-13"/>
                <w:sz w:val="24"/>
              </w:rPr>
              <w:t>接验收手续时，建设单位应当向物业服务企业</w:t>
            </w:r>
            <w:r>
              <w:rPr>
                <w:spacing w:val="-2"/>
                <w:sz w:val="24"/>
              </w:rPr>
              <w:t>移交下列资料：</w:t>
            </w:r>
          </w:p>
          <w:p>
            <w:pPr>
              <w:pStyle w:val="10"/>
              <w:spacing w:before="1" w:line="312" w:lineRule="auto"/>
              <w:ind w:left="108" w:right="97"/>
              <w:jc w:val="both"/>
              <w:rPr>
                <w:sz w:val="24"/>
              </w:rPr>
            </w:pPr>
            <w:r>
              <w:rPr>
                <w:spacing w:val="-6"/>
                <w:sz w:val="24"/>
              </w:rPr>
              <w:t>(一)竣工总平面图，单体建筑、结构、设备竣</w:t>
            </w:r>
            <w:r>
              <w:rPr>
                <w:spacing w:val="-13"/>
                <w:sz w:val="24"/>
              </w:rPr>
              <w:t>工图，配套设施、地下管网工程竣工图等竣工</w:t>
            </w:r>
            <w:r>
              <w:rPr>
                <w:spacing w:val="-2"/>
                <w:sz w:val="24"/>
              </w:rPr>
              <w:t>验收资料；</w:t>
            </w:r>
          </w:p>
          <w:p>
            <w:pPr>
              <w:pStyle w:val="10"/>
              <w:spacing w:line="312" w:lineRule="auto"/>
              <w:ind w:left="108" w:right="97"/>
              <w:rPr>
                <w:sz w:val="24"/>
              </w:rPr>
            </w:pPr>
            <w:r>
              <w:rPr>
                <w:spacing w:val="-11"/>
                <w:sz w:val="24"/>
              </w:rPr>
              <w:t>(二)设施设备的安装、使用和维护保养等技术</w:t>
            </w:r>
            <w:r>
              <w:rPr>
                <w:spacing w:val="-4"/>
                <w:sz w:val="24"/>
              </w:rPr>
              <w:t>资料；</w:t>
            </w:r>
          </w:p>
          <w:p>
            <w:pPr>
              <w:pStyle w:val="10"/>
              <w:spacing w:line="312" w:lineRule="auto"/>
              <w:ind w:left="108" w:right="-15"/>
              <w:rPr>
                <w:sz w:val="24"/>
              </w:rPr>
            </w:pPr>
            <w:r>
              <w:rPr>
                <w:spacing w:val="-2"/>
                <w:sz w:val="24"/>
              </w:rPr>
              <w:t>(三)物业质量保修文件和物业使用说明文件； (四)物业管理所必需的其他资料。</w:t>
            </w:r>
          </w:p>
          <w:p>
            <w:pPr>
              <w:pStyle w:val="10"/>
              <w:spacing w:line="312" w:lineRule="auto"/>
              <w:ind w:left="108" w:right="94"/>
              <w:rPr>
                <w:sz w:val="24"/>
              </w:rPr>
            </w:pPr>
            <w:r>
              <w:rPr>
                <w:spacing w:val="-2"/>
                <w:sz w:val="24"/>
              </w:rPr>
              <w:t>物业服务企业应当在前期物业服务合同终止时将上述资料移交给业主委员会。</w:t>
            </w:r>
          </w:p>
        </w:tc>
        <w:tc>
          <w:tcPr>
            <w:tcW w:w="4954"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87" w:line="312" w:lineRule="auto"/>
              <w:ind w:left="106" w:right="97"/>
              <w:jc w:val="both"/>
              <w:rPr>
                <w:sz w:val="24"/>
              </w:rPr>
            </w:pPr>
            <w:r>
              <w:rPr>
                <w:spacing w:val="-4"/>
                <w:sz w:val="24"/>
              </w:rPr>
              <w:t>《物业管理条例》第五十八条：违反本条例的规定，不移交有关资料的，由县级以上地方人</w:t>
            </w:r>
            <w:r>
              <w:rPr>
                <w:spacing w:val="-6"/>
                <w:sz w:val="24"/>
              </w:rPr>
              <w:t>民政府房地产行政主管部门责令限期改正；逾</w:t>
            </w:r>
            <w:r>
              <w:rPr>
                <w:spacing w:val="-4"/>
                <w:sz w:val="24"/>
              </w:rPr>
              <w:t>期仍不移交有关资料的，对建设单位、物业服</w:t>
            </w:r>
            <w:r>
              <w:rPr>
                <w:w w:val="95"/>
                <w:sz w:val="24"/>
              </w:rPr>
              <w:t>务企业予以通报，处 1 万元以上 10 万元以下</w:t>
            </w:r>
            <w:r>
              <w:rPr>
                <w:spacing w:val="-4"/>
                <w:sz w:val="24"/>
              </w:rPr>
              <w:t>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4"/>
              <w:rPr>
                <w:rFonts w:ascii="PMingLiU"/>
                <w:sz w:val="32"/>
              </w:rPr>
            </w:pPr>
          </w:p>
          <w:p>
            <w:pPr>
              <w:pStyle w:val="10"/>
              <w:spacing w:line="312" w:lineRule="auto"/>
              <w:ind w:left="106" w:right="95"/>
              <w:jc w:val="both"/>
              <w:rPr>
                <w:sz w:val="24"/>
              </w:rPr>
            </w:pPr>
            <w:r>
              <w:rPr>
                <w:spacing w:val="38"/>
                <w:sz w:val="24"/>
              </w:rPr>
              <w:t>县以上房</w:t>
            </w:r>
            <w:r>
              <w:rPr>
                <w:spacing w:val="36"/>
                <w:sz w:val="24"/>
              </w:rPr>
              <w:t>地产行政</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trPr>
        <w:tc>
          <w:tcPr>
            <w:tcW w:w="785" w:type="dxa"/>
          </w:tcPr>
          <w:p>
            <w:pPr>
              <w:pStyle w:val="10"/>
              <w:rPr>
                <w:rFonts w:ascii="PMingLiU"/>
                <w:sz w:val="32"/>
              </w:rPr>
            </w:pPr>
          </w:p>
          <w:p>
            <w:pPr>
              <w:pStyle w:val="10"/>
              <w:rPr>
                <w:rFonts w:ascii="PMingLiU"/>
                <w:sz w:val="32"/>
              </w:rPr>
            </w:pPr>
          </w:p>
          <w:p>
            <w:pPr>
              <w:pStyle w:val="10"/>
              <w:spacing w:before="5"/>
              <w:rPr>
                <w:rFonts w:ascii="PMingLiU"/>
                <w:sz w:val="31"/>
              </w:rPr>
            </w:pPr>
          </w:p>
          <w:p>
            <w:pPr>
              <w:pStyle w:val="10"/>
              <w:ind w:right="221"/>
              <w:jc w:val="right"/>
              <w:rPr>
                <w:rFonts w:ascii="黑体"/>
                <w:sz w:val="32"/>
              </w:rPr>
            </w:pPr>
            <w:r>
              <w:rPr>
                <w:rFonts w:ascii="黑体"/>
                <w:spacing w:val="-5"/>
                <w:sz w:val="32"/>
              </w:rPr>
              <w:t>22</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212" w:line="312" w:lineRule="auto"/>
              <w:ind w:left="106" w:right="97"/>
              <w:rPr>
                <w:sz w:val="24"/>
              </w:rPr>
            </w:pPr>
            <w:r>
              <w:rPr>
                <w:spacing w:val="-2"/>
                <w:sz w:val="24"/>
              </w:rPr>
              <w:t>物业管理用房配</w:t>
            </w:r>
            <w:r>
              <w:rPr>
                <w:spacing w:val="-10"/>
                <w:sz w:val="24"/>
              </w:rPr>
              <w:t>置</w:t>
            </w:r>
          </w:p>
        </w:tc>
        <w:tc>
          <w:tcPr>
            <w:tcW w:w="4917" w:type="dxa"/>
          </w:tcPr>
          <w:p>
            <w:pPr>
              <w:pStyle w:val="10"/>
              <w:rPr>
                <w:rFonts w:ascii="PMingLiU"/>
                <w:sz w:val="24"/>
              </w:rPr>
            </w:pPr>
          </w:p>
          <w:p>
            <w:pPr>
              <w:pStyle w:val="10"/>
              <w:rPr>
                <w:rFonts w:ascii="PMingLiU"/>
                <w:sz w:val="24"/>
              </w:rPr>
            </w:pPr>
          </w:p>
          <w:p>
            <w:pPr>
              <w:pStyle w:val="10"/>
              <w:spacing w:before="13"/>
              <w:rPr>
                <w:rFonts w:ascii="PMingLiU"/>
                <w:sz w:val="24"/>
              </w:rPr>
            </w:pPr>
          </w:p>
          <w:p>
            <w:pPr>
              <w:pStyle w:val="10"/>
              <w:spacing w:line="312" w:lineRule="auto"/>
              <w:ind w:left="108" w:right="94"/>
              <w:jc w:val="both"/>
              <w:rPr>
                <w:sz w:val="24"/>
              </w:rPr>
            </w:pPr>
            <w:r>
              <w:rPr>
                <w:spacing w:val="-13"/>
                <w:sz w:val="24"/>
              </w:rPr>
              <w:t>《物业管理条例》第三十条：建设单位应当按</w:t>
            </w:r>
            <w:r>
              <w:rPr>
                <w:spacing w:val="-2"/>
                <w:sz w:val="24"/>
              </w:rPr>
              <w:t>照规定在物业管理区域内配置必要的物业管</w:t>
            </w:r>
            <w:r>
              <w:rPr>
                <w:spacing w:val="-4"/>
                <w:sz w:val="24"/>
              </w:rPr>
              <w:t>理用房。</w:t>
            </w:r>
          </w:p>
        </w:tc>
        <w:tc>
          <w:tcPr>
            <w:tcW w:w="4954" w:type="dxa"/>
          </w:tcPr>
          <w:p>
            <w:pPr>
              <w:pStyle w:val="10"/>
              <w:rPr>
                <w:rFonts w:ascii="PMingLiU"/>
                <w:sz w:val="30"/>
              </w:rPr>
            </w:pPr>
          </w:p>
          <w:p>
            <w:pPr>
              <w:pStyle w:val="10"/>
              <w:spacing w:before="1" w:line="312" w:lineRule="auto"/>
              <w:ind w:left="106" w:right="35"/>
              <w:jc w:val="both"/>
              <w:rPr>
                <w:sz w:val="24"/>
              </w:rPr>
            </w:pPr>
            <w:r>
              <w:rPr>
                <w:spacing w:val="-2"/>
                <w:sz w:val="24"/>
              </w:rPr>
              <w:t>《物业管理条例》第六十一条：违反本条例的</w:t>
            </w:r>
            <w:r>
              <w:rPr>
                <w:spacing w:val="-10"/>
                <w:sz w:val="24"/>
              </w:rPr>
              <w:t>规定，建设单位在物业管理区域内不按照规定</w:t>
            </w:r>
            <w:r>
              <w:rPr>
                <w:spacing w:val="-7"/>
                <w:sz w:val="24"/>
              </w:rPr>
              <w:t>配置必要的物业管理用房的，由县级以上地方</w:t>
            </w:r>
            <w:r>
              <w:rPr>
                <w:spacing w:val="-2"/>
                <w:sz w:val="24"/>
              </w:rPr>
              <w:t xml:space="preserve">人民政府房地产行政主管部门责令限期改正，给予警告，没收违法所得，并处 </w:t>
            </w:r>
            <w:r>
              <w:rPr>
                <w:sz w:val="24"/>
              </w:rPr>
              <w:t>10</w:t>
            </w:r>
            <w:r>
              <w:rPr>
                <w:spacing w:val="-5"/>
                <w:sz w:val="24"/>
              </w:rPr>
              <w:t xml:space="preserve"> 万元以上</w:t>
            </w:r>
          </w:p>
          <w:p>
            <w:pPr>
              <w:pStyle w:val="10"/>
              <w:ind w:left="106"/>
              <w:jc w:val="both"/>
              <w:rPr>
                <w:sz w:val="24"/>
              </w:rPr>
            </w:pPr>
            <w:r>
              <w:rPr>
                <w:sz w:val="24"/>
              </w:rPr>
              <w:t>50</w:t>
            </w:r>
            <w:r>
              <w:rPr>
                <w:spacing w:val="-9"/>
                <w:sz w:val="24"/>
              </w:rPr>
              <w:t xml:space="preserve"> 万元以下的罚款。</w:t>
            </w:r>
          </w:p>
        </w:tc>
        <w:tc>
          <w:tcPr>
            <w:tcW w:w="1340" w:type="dxa"/>
          </w:tcPr>
          <w:p>
            <w:pPr>
              <w:pStyle w:val="10"/>
              <w:rPr>
                <w:rFonts w:ascii="PMingLiU"/>
                <w:sz w:val="24"/>
              </w:rPr>
            </w:pPr>
          </w:p>
          <w:p>
            <w:pPr>
              <w:pStyle w:val="10"/>
              <w:spacing w:before="10"/>
              <w:rPr>
                <w:rFonts w:ascii="PMingLiU"/>
                <w:sz w:val="34"/>
              </w:rPr>
            </w:pPr>
          </w:p>
          <w:p>
            <w:pPr>
              <w:pStyle w:val="10"/>
              <w:spacing w:line="312" w:lineRule="auto"/>
              <w:ind w:left="106" w:right="98"/>
              <w:jc w:val="both"/>
              <w:rPr>
                <w:sz w:val="24"/>
              </w:rPr>
            </w:pPr>
            <w:r>
              <w:rPr>
                <w:spacing w:val="36"/>
                <w:sz w:val="24"/>
              </w:rPr>
              <w:t>县级以上房地产行政主管部</w:t>
            </w:r>
            <w:r>
              <w:rPr>
                <w:spacing w:val="-10"/>
                <w:sz w:val="24"/>
              </w:rPr>
              <w:t>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7"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2"/>
              <w:rPr>
                <w:rFonts w:ascii="PMingLiU"/>
                <w:sz w:val="41"/>
              </w:rPr>
            </w:pPr>
          </w:p>
          <w:p>
            <w:pPr>
              <w:pStyle w:val="10"/>
              <w:ind w:right="221"/>
              <w:jc w:val="right"/>
              <w:rPr>
                <w:rFonts w:ascii="黑体"/>
                <w:sz w:val="32"/>
              </w:rPr>
            </w:pPr>
            <w:r>
              <w:rPr>
                <w:rFonts w:ascii="黑体"/>
                <w:spacing w:val="-5"/>
                <w:sz w:val="32"/>
              </w:rPr>
              <w:t>23</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2"/>
              <w:rPr>
                <w:rFonts w:ascii="PMingLiU"/>
                <w:sz w:val="35"/>
              </w:rPr>
            </w:pPr>
          </w:p>
          <w:p>
            <w:pPr>
              <w:pStyle w:val="10"/>
              <w:spacing w:line="312" w:lineRule="auto"/>
              <w:ind w:left="106" w:right="95"/>
              <w:jc w:val="both"/>
              <w:rPr>
                <w:sz w:val="24"/>
              </w:rPr>
            </w:pPr>
            <w:r>
              <w:rPr>
                <w:spacing w:val="-2"/>
                <w:sz w:val="24"/>
              </w:rPr>
              <w:t>建设单位（开发商）未向物业管理行政主管部门</w:t>
            </w:r>
            <w:r>
              <w:rPr>
                <w:spacing w:val="13"/>
                <w:w w:val="95"/>
                <w:sz w:val="24"/>
              </w:rPr>
              <w:t>或者 街道 办事</w:t>
            </w:r>
            <w:r>
              <w:rPr>
                <w:spacing w:val="-2"/>
                <w:sz w:val="24"/>
              </w:rPr>
              <w:t>处、乡镇人民政府报送筹备首次业主大会会议所需文件资料</w:t>
            </w:r>
          </w:p>
        </w:tc>
        <w:tc>
          <w:tcPr>
            <w:tcW w:w="4917" w:type="dxa"/>
          </w:tcPr>
          <w:p>
            <w:pPr>
              <w:pStyle w:val="10"/>
              <w:spacing w:before="10"/>
              <w:rPr>
                <w:rFonts w:ascii="PMingLiU"/>
                <w:sz w:val="35"/>
              </w:rPr>
            </w:pPr>
          </w:p>
          <w:p>
            <w:pPr>
              <w:pStyle w:val="10"/>
              <w:spacing w:line="312" w:lineRule="auto"/>
              <w:ind w:left="108" w:right="-15"/>
              <w:rPr>
                <w:sz w:val="24"/>
              </w:rPr>
            </w:pPr>
            <w:r>
              <w:rPr>
                <w:spacing w:val="-8"/>
                <w:sz w:val="24"/>
              </w:rPr>
              <w:t>《安徽省物业管理条例》第十五条：物业管理</w:t>
            </w:r>
            <w:r>
              <w:rPr>
                <w:spacing w:val="-12"/>
                <w:sz w:val="24"/>
              </w:rPr>
              <w:t>区域内，已交付的专有部分面积超过建筑物总面积百分之五十或者首批物业交付满三年的，</w:t>
            </w:r>
            <w:r>
              <w:rPr>
                <w:spacing w:val="6"/>
                <w:sz w:val="24"/>
              </w:rPr>
              <w:t>建设单位应当向县级物业管理行政主管部门</w:t>
            </w:r>
            <w:r>
              <w:rPr>
                <w:spacing w:val="-8"/>
                <w:sz w:val="24"/>
              </w:rPr>
              <w:t>和街道办事处、乡镇人民政府报送下列筹备成立首次业主大会会议所需的文件资料：</w:t>
            </w:r>
          </w:p>
          <w:p>
            <w:pPr>
              <w:pStyle w:val="10"/>
              <w:spacing w:before="2"/>
              <w:ind w:left="108"/>
              <w:rPr>
                <w:sz w:val="24"/>
              </w:rPr>
            </w:pPr>
            <w:r>
              <w:rPr>
                <w:sz w:val="24"/>
              </w:rPr>
              <w:t>（一）</w:t>
            </w:r>
            <w:r>
              <w:rPr>
                <w:spacing w:val="-1"/>
                <w:sz w:val="24"/>
              </w:rPr>
              <w:t>物业管理区域划分资料；</w:t>
            </w:r>
          </w:p>
          <w:p>
            <w:pPr>
              <w:pStyle w:val="10"/>
              <w:spacing w:before="91"/>
              <w:ind w:left="108"/>
              <w:rPr>
                <w:sz w:val="24"/>
              </w:rPr>
            </w:pPr>
            <w:r>
              <w:rPr>
                <w:sz w:val="24"/>
              </w:rPr>
              <w:t>（二）</w:t>
            </w:r>
            <w:r>
              <w:rPr>
                <w:spacing w:val="-1"/>
                <w:sz w:val="24"/>
              </w:rPr>
              <w:t>房屋等建筑物面积清册；</w:t>
            </w:r>
          </w:p>
          <w:p>
            <w:pPr>
              <w:pStyle w:val="10"/>
              <w:spacing w:before="93"/>
              <w:ind w:left="108"/>
              <w:rPr>
                <w:sz w:val="24"/>
              </w:rPr>
            </w:pPr>
            <w:r>
              <w:rPr>
                <w:sz w:val="24"/>
              </w:rPr>
              <w:t>（三）</w:t>
            </w:r>
            <w:r>
              <w:rPr>
                <w:spacing w:val="-2"/>
                <w:sz w:val="24"/>
              </w:rPr>
              <w:t>业主名册；</w:t>
            </w:r>
          </w:p>
          <w:p>
            <w:pPr>
              <w:pStyle w:val="10"/>
              <w:spacing w:before="93"/>
              <w:ind w:left="108"/>
              <w:rPr>
                <w:sz w:val="24"/>
              </w:rPr>
            </w:pPr>
            <w:r>
              <w:rPr>
                <w:sz w:val="24"/>
              </w:rPr>
              <w:t>（四）</w:t>
            </w:r>
            <w:r>
              <w:rPr>
                <w:spacing w:val="-2"/>
                <w:sz w:val="24"/>
              </w:rPr>
              <w:t>建筑规划总平面图；</w:t>
            </w:r>
          </w:p>
          <w:p>
            <w:pPr>
              <w:pStyle w:val="10"/>
              <w:spacing w:before="91"/>
              <w:ind w:left="108"/>
              <w:rPr>
                <w:sz w:val="24"/>
              </w:rPr>
            </w:pPr>
            <w:r>
              <w:rPr>
                <w:sz w:val="24"/>
              </w:rPr>
              <w:t>（五）</w:t>
            </w:r>
            <w:r>
              <w:rPr>
                <w:spacing w:val="-1"/>
                <w:sz w:val="24"/>
              </w:rPr>
              <w:t>共用设施设备的交接资料；</w:t>
            </w:r>
          </w:p>
          <w:p>
            <w:pPr>
              <w:pStyle w:val="10"/>
              <w:spacing w:before="94"/>
              <w:ind w:left="108"/>
              <w:rPr>
                <w:sz w:val="24"/>
              </w:rPr>
            </w:pPr>
            <w:r>
              <w:rPr>
                <w:sz w:val="24"/>
              </w:rPr>
              <w:t>（六）</w:t>
            </w:r>
            <w:r>
              <w:rPr>
                <w:spacing w:val="-1"/>
                <w:sz w:val="24"/>
              </w:rPr>
              <w:t>物业服务用房配置确认资料；</w:t>
            </w:r>
          </w:p>
          <w:p>
            <w:pPr>
              <w:pStyle w:val="10"/>
              <w:spacing w:before="93"/>
              <w:ind w:left="108"/>
              <w:rPr>
                <w:sz w:val="24"/>
              </w:rPr>
            </w:pPr>
            <w:r>
              <w:rPr>
                <w:sz w:val="24"/>
              </w:rPr>
              <w:t>（七）</w:t>
            </w:r>
            <w:r>
              <w:rPr>
                <w:spacing w:val="-1"/>
                <w:sz w:val="24"/>
              </w:rPr>
              <w:t>其他有关的文件资料。</w:t>
            </w:r>
          </w:p>
        </w:tc>
        <w:tc>
          <w:tcPr>
            <w:tcW w:w="4954"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8"/>
              <w:rPr>
                <w:rFonts w:ascii="PMingLiU"/>
                <w:sz w:val="25"/>
              </w:rPr>
            </w:pPr>
          </w:p>
          <w:p>
            <w:pPr>
              <w:pStyle w:val="10"/>
              <w:spacing w:line="312" w:lineRule="auto"/>
              <w:ind w:left="106" w:right="97"/>
              <w:jc w:val="both"/>
              <w:rPr>
                <w:sz w:val="24"/>
              </w:rPr>
            </w:pPr>
            <w:r>
              <w:rPr>
                <w:spacing w:val="-4"/>
                <w:sz w:val="24"/>
              </w:rPr>
              <w:t>《安徽省物业管理条例》第九十四条：违反本</w:t>
            </w:r>
            <w:r>
              <w:rPr>
                <w:spacing w:val="-9"/>
                <w:sz w:val="24"/>
              </w:rPr>
              <w:t>条例第十五条规定，建设单位未向物业管理行</w:t>
            </w:r>
            <w:r>
              <w:rPr>
                <w:spacing w:val="-7"/>
                <w:sz w:val="24"/>
              </w:rPr>
              <w:t>政主管部门或者街道办事处、乡镇人民政府报</w:t>
            </w:r>
            <w:r>
              <w:rPr>
                <w:spacing w:val="-6"/>
                <w:sz w:val="24"/>
              </w:rPr>
              <w:t>送筹备首次业主大会会议所需文件资料的，由</w:t>
            </w:r>
            <w:r>
              <w:rPr>
                <w:sz w:val="24"/>
              </w:rPr>
              <w:t>县级人民政府物业管理行政主管部门责令限</w:t>
            </w:r>
            <w:r>
              <w:rPr>
                <w:spacing w:val="-4"/>
                <w:sz w:val="24"/>
              </w:rPr>
              <w:t>期改正；逾期不改正的，处二万元以上十万元</w:t>
            </w:r>
            <w:r>
              <w:rPr>
                <w:spacing w:val="-2"/>
                <w:sz w:val="24"/>
              </w:rPr>
              <w:t>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6"/>
              <w:rPr>
                <w:rFonts w:ascii="PMingLiU"/>
                <w:sz w:val="20"/>
              </w:rPr>
            </w:pPr>
          </w:p>
          <w:p>
            <w:pPr>
              <w:pStyle w:val="10"/>
              <w:spacing w:line="312" w:lineRule="auto"/>
              <w:ind w:left="106" w:right="98"/>
              <w:jc w:val="both"/>
              <w:rPr>
                <w:sz w:val="24"/>
              </w:rPr>
            </w:pPr>
            <w:r>
              <w:rPr>
                <w:spacing w:val="36"/>
                <w:sz w:val="24"/>
              </w:rPr>
              <w:t>县级以上物业管理行政主管</w:t>
            </w:r>
            <w:r>
              <w:rPr>
                <w:spacing w:val="-6"/>
                <w:sz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785" w:type="dxa"/>
          </w:tcPr>
          <w:p>
            <w:pPr>
              <w:pStyle w:val="10"/>
              <w:rPr>
                <w:rFonts w:ascii="PMingLiU"/>
                <w:sz w:val="32"/>
              </w:rPr>
            </w:pPr>
          </w:p>
          <w:p>
            <w:pPr>
              <w:pStyle w:val="10"/>
              <w:rPr>
                <w:rFonts w:ascii="PMingLiU"/>
                <w:sz w:val="31"/>
              </w:rPr>
            </w:pPr>
          </w:p>
          <w:p>
            <w:pPr>
              <w:pStyle w:val="10"/>
              <w:spacing w:before="1"/>
              <w:ind w:right="221"/>
              <w:jc w:val="right"/>
              <w:rPr>
                <w:rFonts w:ascii="黑体"/>
                <w:sz w:val="32"/>
              </w:rPr>
            </w:pPr>
            <w:r>
              <w:rPr>
                <w:rFonts w:ascii="黑体"/>
                <w:spacing w:val="-5"/>
                <w:sz w:val="32"/>
              </w:rPr>
              <w:t>24</w:t>
            </w:r>
          </w:p>
        </w:tc>
        <w:tc>
          <w:tcPr>
            <w:tcW w:w="1949" w:type="dxa"/>
          </w:tcPr>
          <w:p>
            <w:pPr>
              <w:pStyle w:val="10"/>
              <w:rPr>
                <w:rFonts w:ascii="PMingLiU"/>
                <w:sz w:val="24"/>
              </w:rPr>
            </w:pPr>
          </w:p>
          <w:p>
            <w:pPr>
              <w:pStyle w:val="10"/>
              <w:spacing w:before="6"/>
              <w:rPr>
                <w:rFonts w:ascii="PMingLiU"/>
                <w:sz w:val="16"/>
              </w:rPr>
            </w:pPr>
          </w:p>
          <w:p>
            <w:pPr>
              <w:pStyle w:val="10"/>
              <w:spacing w:line="312" w:lineRule="auto"/>
              <w:ind w:left="106" w:right="97"/>
              <w:jc w:val="both"/>
              <w:rPr>
                <w:sz w:val="24"/>
              </w:rPr>
            </w:pPr>
            <w:r>
              <w:rPr>
                <w:spacing w:val="-2"/>
                <w:sz w:val="24"/>
              </w:rPr>
              <w:t>装修人未申报登记进行住宅室内装饰装修活动</w:t>
            </w:r>
          </w:p>
        </w:tc>
        <w:tc>
          <w:tcPr>
            <w:tcW w:w="4917" w:type="dxa"/>
          </w:tcPr>
          <w:p>
            <w:pPr>
              <w:pStyle w:val="10"/>
              <w:spacing w:before="3"/>
              <w:rPr>
                <w:rFonts w:ascii="PMingLiU"/>
                <w:sz w:val="26"/>
              </w:rPr>
            </w:pPr>
          </w:p>
          <w:p>
            <w:pPr>
              <w:pStyle w:val="10"/>
              <w:spacing w:line="312" w:lineRule="auto"/>
              <w:ind w:left="108" w:right="-15"/>
              <w:rPr>
                <w:sz w:val="24"/>
              </w:rPr>
            </w:pPr>
            <w:r>
              <w:rPr>
                <w:spacing w:val="-10"/>
                <w:sz w:val="24"/>
              </w:rPr>
              <w:t>《住宅室内装饰装修管理办法》第十三条第一</w:t>
            </w:r>
            <w:r>
              <w:rPr>
                <w:spacing w:val="-2"/>
                <w:sz w:val="24"/>
              </w:rPr>
              <w:t>款：装修人在住宅室内装饰装修工程开工前，</w:t>
            </w:r>
            <w:r>
              <w:rPr>
                <w:spacing w:val="-8"/>
                <w:sz w:val="24"/>
              </w:rPr>
              <w:t>应当向物业管理企业或者房屋管理机构</w:t>
            </w:r>
            <w:r>
              <w:rPr>
                <w:spacing w:val="-2"/>
                <w:sz w:val="24"/>
              </w:rPr>
              <w:t>（以下简称物业管理单位）申报登记。</w:t>
            </w:r>
          </w:p>
        </w:tc>
        <w:tc>
          <w:tcPr>
            <w:tcW w:w="4954" w:type="dxa"/>
          </w:tcPr>
          <w:p>
            <w:pPr>
              <w:pStyle w:val="10"/>
              <w:spacing w:before="3"/>
              <w:rPr>
                <w:rFonts w:ascii="PMingLiU"/>
                <w:sz w:val="26"/>
              </w:rPr>
            </w:pPr>
          </w:p>
          <w:p>
            <w:pPr>
              <w:pStyle w:val="10"/>
              <w:spacing w:line="312" w:lineRule="auto"/>
              <w:ind w:left="106" w:right="35"/>
              <w:jc w:val="both"/>
              <w:rPr>
                <w:sz w:val="24"/>
              </w:rPr>
            </w:pPr>
            <w:r>
              <w:rPr>
                <w:spacing w:val="-2"/>
                <w:sz w:val="24"/>
              </w:rPr>
              <w:t>《住宅室内装饰装修管理办法》第三十五条：</w:t>
            </w:r>
            <w:r>
              <w:rPr>
                <w:sz w:val="24"/>
              </w:rPr>
              <w:t>装修人未申报登记进行住宅室内装饰装修活</w:t>
            </w:r>
            <w:r>
              <w:rPr>
                <w:spacing w:val="-2"/>
                <w:sz w:val="24"/>
              </w:rPr>
              <w:t>动的，由城市房地产行政主管部门责令改正，</w:t>
            </w:r>
            <w:r>
              <w:rPr>
                <w:spacing w:val="-11"/>
                <w:sz w:val="24"/>
              </w:rPr>
              <w:t xml:space="preserve">处 </w:t>
            </w:r>
            <w:r>
              <w:rPr>
                <w:sz w:val="24"/>
              </w:rPr>
              <w:t>5</w:t>
            </w:r>
            <w:r>
              <w:rPr>
                <w:spacing w:val="-8"/>
                <w:sz w:val="24"/>
              </w:rPr>
              <w:t xml:space="preserve"> 百元以上 </w:t>
            </w:r>
            <w:r>
              <w:rPr>
                <w:sz w:val="24"/>
              </w:rPr>
              <w:t>1</w:t>
            </w:r>
            <w:r>
              <w:rPr>
                <w:spacing w:val="-5"/>
                <w:sz w:val="24"/>
              </w:rPr>
              <w:t xml:space="preserve"> 千元以下的罚款。</w:t>
            </w:r>
          </w:p>
        </w:tc>
        <w:tc>
          <w:tcPr>
            <w:tcW w:w="1340" w:type="dxa"/>
          </w:tcPr>
          <w:p>
            <w:pPr>
              <w:pStyle w:val="10"/>
              <w:rPr>
                <w:rFonts w:ascii="PMingLiU"/>
                <w:sz w:val="24"/>
              </w:rPr>
            </w:pPr>
          </w:p>
          <w:p>
            <w:pPr>
              <w:pStyle w:val="10"/>
              <w:spacing w:before="6"/>
              <w:rPr>
                <w:rFonts w:ascii="PMingLiU"/>
                <w:sz w:val="16"/>
              </w:rPr>
            </w:pPr>
          </w:p>
          <w:p>
            <w:pPr>
              <w:pStyle w:val="10"/>
              <w:spacing w:line="312" w:lineRule="auto"/>
              <w:ind w:left="106" w:right="98"/>
              <w:jc w:val="both"/>
              <w:rPr>
                <w:sz w:val="24"/>
              </w:rPr>
            </w:pPr>
            <w:r>
              <w:rPr>
                <w:spacing w:val="36"/>
                <w:sz w:val="24"/>
              </w:rPr>
              <w:t>市县房地产行政主</w:t>
            </w:r>
            <w:r>
              <w:rPr>
                <w:spacing w:val="-4"/>
                <w:sz w:val="24"/>
              </w:rPr>
              <w:t>管部门</w:t>
            </w:r>
          </w:p>
        </w:tc>
      </w:tr>
    </w:tbl>
    <w:p>
      <w:pPr>
        <w:spacing w:after="0" w:line="312" w:lineRule="auto"/>
        <w:jc w:val="both"/>
        <w:rPr>
          <w:sz w:val="24"/>
        </w:rPr>
        <w:sectPr>
          <w:footerReference r:id="rId6" w:type="default"/>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3"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10"/>
              <w:rPr>
                <w:rFonts w:ascii="PMingLiU"/>
                <w:sz w:val="45"/>
              </w:rPr>
            </w:pPr>
          </w:p>
          <w:p>
            <w:pPr>
              <w:pStyle w:val="10"/>
              <w:spacing w:before="1"/>
              <w:ind w:right="221"/>
              <w:jc w:val="right"/>
              <w:rPr>
                <w:rFonts w:ascii="黑体"/>
                <w:sz w:val="32"/>
              </w:rPr>
            </w:pPr>
            <w:r>
              <w:rPr>
                <w:rFonts w:ascii="黑体"/>
                <w:spacing w:val="-5"/>
                <w:sz w:val="32"/>
              </w:rPr>
              <w:t>25</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8"/>
              </w:rPr>
            </w:pPr>
          </w:p>
          <w:p>
            <w:pPr>
              <w:pStyle w:val="10"/>
              <w:spacing w:line="312" w:lineRule="auto"/>
              <w:ind w:left="106" w:right="97"/>
              <w:jc w:val="both"/>
              <w:rPr>
                <w:sz w:val="24"/>
              </w:rPr>
            </w:pPr>
            <w:r>
              <w:rPr>
                <w:spacing w:val="-2"/>
                <w:sz w:val="24"/>
              </w:rPr>
              <w:t>将没有防水要求的房间或者阳台改为卫生间、厨房间，损坏房屋原有节能设施等</w:t>
            </w:r>
          </w:p>
        </w:tc>
        <w:tc>
          <w:tcPr>
            <w:tcW w:w="4917"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8"/>
              </w:rPr>
            </w:pPr>
          </w:p>
          <w:p>
            <w:pPr>
              <w:pStyle w:val="10"/>
              <w:spacing w:line="312" w:lineRule="auto"/>
              <w:ind w:left="108" w:right="94"/>
              <w:jc w:val="both"/>
              <w:rPr>
                <w:sz w:val="24"/>
              </w:rPr>
            </w:pPr>
            <w:r>
              <w:rPr>
                <w:spacing w:val="-10"/>
                <w:sz w:val="24"/>
              </w:rPr>
              <w:t>《住宅室内装饰装修管理办法》第五条住宅室</w:t>
            </w:r>
            <w:r>
              <w:rPr>
                <w:spacing w:val="-6"/>
                <w:sz w:val="24"/>
              </w:rPr>
              <w:t>内装饰装修活动禁止下列行为：（二）将没有</w:t>
            </w:r>
            <w:r>
              <w:rPr>
                <w:spacing w:val="-2"/>
                <w:sz w:val="24"/>
              </w:rPr>
              <w:t>防水要求的房间或者阳台改为卫生间、厨房</w:t>
            </w:r>
            <w:r>
              <w:rPr>
                <w:spacing w:val="-6"/>
                <w:sz w:val="24"/>
              </w:rPr>
              <w:t>间；（四）损坏房屋原有节能设施，降低节能效果</w:t>
            </w:r>
          </w:p>
        </w:tc>
        <w:tc>
          <w:tcPr>
            <w:tcW w:w="4954" w:type="dxa"/>
          </w:tcPr>
          <w:p>
            <w:pPr>
              <w:pStyle w:val="10"/>
              <w:spacing w:before="1"/>
              <w:rPr>
                <w:rFonts w:ascii="PMingLiU"/>
                <w:sz w:val="19"/>
              </w:rPr>
            </w:pPr>
          </w:p>
          <w:p>
            <w:pPr>
              <w:pStyle w:val="10"/>
              <w:spacing w:line="312" w:lineRule="auto"/>
              <w:ind w:left="106" w:right="35"/>
              <w:jc w:val="both"/>
              <w:rPr>
                <w:sz w:val="24"/>
              </w:rPr>
            </w:pPr>
            <w:r>
              <w:rPr>
                <w:sz w:val="24"/>
              </w:rPr>
              <w:t>《住宅室内装饰装修管理办法》第三十八条</w:t>
            </w:r>
            <w:r>
              <w:rPr>
                <w:spacing w:val="-6"/>
                <w:sz w:val="24"/>
              </w:rPr>
              <w:t>住宅室内装饰装修活动有下列行为之一的，由</w:t>
            </w:r>
            <w:r>
              <w:rPr>
                <w:sz w:val="24"/>
              </w:rPr>
              <w:t>城市房地产行政主管部门责令改正，并处罚</w:t>
            </w:r>
            <w:r>
              <w:rPr>
                <w:spacing w:val="-2"/>
                <w:sz w:val="24"/>
              </w:rPr>
              <w:t>款：(一)将没有防水要求的房间或者阳台改为卫生间、厨房间的，或者拆除连接阳台的砖、</w:t>
            </w:r>
            <w:r>
              <w:rPr>
                <w:spacing w:val="-12"/>
                <w:sz w:val="24"/>
              </w:rPr>
              <w:t xml:space="preserve">混凝土墙体的，对装修人处 </w:t>
            </w:r>
            <w:r>
              <w:rPr>
                <w:sz w:val="24"/>
              </w:rPr>
              <w:t>5</w:t>
            </w:r>
            <w:r>
              <w:rPr>
                <w:spacing w:val="-19"/>
                <w:sz w:val="24"/>
              </w:rPr>
              <w:t xml:space="preserve"> 百元以上 </w:t>
            </w:r>
            <w:r>
              <w:rPr>
                <w:sz w:val="24"/>
              </w:rPr>
              <w:t>1</w:t>
            </w:r>
            <w:r>
              <w:rPr>
                <w:spacing w:val="-18"/>
                <w:sz w:val="24"/>
              </w:rPr>
              <w:t xml:space="preserve"> 千元</w:t>
            </w:r>
          </w:p>
          <w:p>
            <w:pPr>
              <w:pStyle w:val="10"/>
              <w:spacing w:before="2" w:line="312" w:lineRule="auto"/>
              <w:ind w:left="106" w:right="97"/>
              <w:jc w:val="both"/>
              <w:rPr>
                <w:sz w:val="24"/>
              </w:rPr>
            </w:pPr>
            <w:r>
              <w:rPr>
                <w:w w:val="95"/>
                <w:sz w:val="24"/>
              </w:rPr>
              <w:t>以下的罚款,对装饰装修企业处 1 千元以上 1</w:t>
            </w:r>
            <w:r>
              <w:rPr>
                <w:spacing w:val="-4"/>
                <w:sz w:val="24"/>
              </w:rPr>
              <w:t>万元以下的罚款；(二)损坏房屋原有节能设施</w:t>
            </w:r>
            <w:r>
              <w:rPr>
                <w:spacing w:val="-10"/>
                <w:sz w:val="24"/>
              </w:rPr>
              <w:t xml:space="preserve">或者降低节能效果的，对装饰装修企业处 </w:t>
            </w:r>
            <w:r>
              <w:rPr>
                <w:sz w:val="24"/>
              </w:rPr>
              <w:t>1</w:t>
            </w:r>
            <w:r>
              <w:rPr>
                <w:spacing w:val="-35"/>
                <w:sz w:val="24"/>
              </w:rPr>
              <w:t xml:space="preserve"> 千</w:t>
            </w:r>
          </w:p>
          <w:p>
            <w:pPr>
              <w:pStyle w:val="10"/>
              <w:spacing w:before="1"/>
              <w:ind w:left="106"/>
              <w:jc w:val="both"/>
              <w:rPr>
                <w:sz w:val="24"/>
              </w:rPr>
            </w:pPr>
            <w:r>
              <w:rPr>
                <w:spacing w:val="-15"/>
                <w:sz w:val="24"/>
              </w:rPr>
              <w:t xml:space="preserve">元以上 </w:t>
            </w:r>
            <w:r>
              <w:rPr>
                <w:sz w:val="24"/>
              </w:rPr>
              <w:t>5</w:t>
            </w:r>
            <w:r>
              <w:rPr>
                <w:spacing w:val="-9"/>
                <w:sz w:val="24"/>
              </w:rPr>
              <w:t xml:space="preserve"> 千元以下的罚款；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
              <w:rPr>
                <w:rFonts w:ascii="PMingLiU"/>
                <w:sz w:val="23"/>
              </w:rPr>
            </w:pPr>
          </w:p>
          <w:p>
            <w:pPr>
              <w:pStyle w:val="10"/>
              <w:spacing w:line="312" w:lineRule="auto"/>
              <w:ind w:left="106" w:right="98"/>
              <w:jc w:val="both"/>
              <w:rPr>
                <w:sz w:val="24"/>
              </w:rPr>
            </w:pPr>
            <w:r>
              <w:rPr>
                <w:spacing w:val="36"/>
                <w:sz w:val="24"/>
              </w:rPr>
              <w:t>市县房地产行政主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7"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3"/>
              <w:rPr>
                <w:rFonts w:ascii="PMingLiU"/>
                <w:sz w:val="30"/>
              </w:rPr>
            </w:pPr>
          </w:p>
          <w:p>
            <w:pPr>
              <w:pStyle w:val="10"/>
              <w:spacing w:before="1"/>
              <w:ind w:right="221"/>
              <w:jc w:val="right"/>
              <w:rPr>
                <w:rFonts w:ascii="黑体"/>
                <w:sz w:val="32"/>
              </w:rPr>
            </w:pPr>
            <w:r>
              <w:rPr>
                <w:rFonts w:ascii="黑体"/>
                <w:spacing w:val="-5"/>
                <w:sz w:val="32"/>
              </w:rPr>
              <w:t>26</w:t>
            </w:r>
          </w:p>
        </w:tc>
        <w:tc>
          <w:tcPr>
            <w:tcW w:w="194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6"/>
              <w:rPr>
                <w:rFonts w:ascii="PMingLiU"/>
                <w:sz w:val="17"/>
              </w:rPr>
            </w:pPr>
          </w:p>
          <w:p>
            <w:pPr>
              <w:pStyle w:val="10"/>
              <w:spacing w:line="312" w:lineRule="auto"/>
              <w:ind w:left="106" w:right="97"/>
              <w:jc w:val="both"/>
              <w:rPr>
                <w:sz w:val="24"/>
              </w:rPr>
            </w:pPr>
            <w:r>
              <w:rPr>
                <w:spacing w:val="-2"/>
                <w:sz w:val="24"/>
              </w:rPr>
              <w:t>毁损、覆盖、涂改、擅自拆除或者移动燃气设施安全警示标志</w:t>
            </w:r>
          </w:p>
        </w:tc>
        <w:tc>
          <w:tcPr>
            <w:tcW w:w="4917" w:type="dxa"/>
          </w:tcPr>
          <w:p>
            <w:pPr>
              <w:pStyle w:val="10"/>
              <w:spacing w:before="12"/>
              <w:rPr>
                <w:rFonts w:ascii="PMingLiU"/>
                <w:sz w:val="17"/>
              </w:rPr>
            </w:pPr>
          </w:p>
          <w:p>
            <w:pPr>
              <w:pStyle w:val="10"/>
              <w:spacing w:line="312" w:lineRule="auto"/>
              <w:ind w:left="108" w:right="97"/>
              <w:jc w:val="both"/>
              <w:rPr>
                <w:sz w:val="24"/>
              </w:rPr>
            </w:pPr>
            <w:r>
              <w:rPr>
                <w:spacing w:val="-10"/>
                <w:sz w:val="24"/>
              </w:rPr>
              <w:t>《城镇燃气管理条例》第三十六条：任何单位</w:t>
            </w:r>
            <w:r>
              <w:rPr>
                <w:spacing w:val="-13"/>
                <w:sz w:val="24"/>
              </w:rPr>
              <w:t>和个人不得侵占、毁损、擅自拆除或者移动燃</w:t>
            </w:r>
            <w:r>
              <w:rPr>
                <w:spacing w:val="-6"/>
                <w:sz w:val="24"/>
              </w:rPr>
              <w:t>气设施，不得毁损、覆盖、涂改、擅自拆除或</w:t>
            </w:r>
            <w:r>
              <w:rPr>
                <w:spacing w:val="-2"/>
                <w:sz w:val="24"/>
              </w:rPr>
              <w:t>者移动燃气设施安全警示标志。</w:t>
            </w:r>
          </w:p>
          <w:p>
            <w:pPr>
              <w:pStyle w:val="10"/>
              <w:spacing w:before="2" w:line="312" w:lineRule="auto"/>
              <w:ind w:left="108" w:right="94" w:firstLine="480"/>
              <w:jc w:val="both"/>
              <w:rPr>
                <w:sz w:val="24"/>
              </w:rPr>
            </w:pPr>
            <w:r>
              <w:rPr>
                <w:spacing w:val="-2"/>
                <w:sz w:val="24"/>
              </w:rPr>
              <w:t>任何单位和个人发现有可能危及燃气设</w:t>
            </w:r>
            <w:r>
              <w:rPr>
                <w:spacing w:val="-8"/>
                <w:sz w:val="24"/>
              </w:rPr>
              <w:t>施和安全警示标志的行为，有权予以劝阻、制</w:t>
            </w:r>
            <w:r>
              <w:rPr>
                <w:spacing w:val="-6"/>
                <w:sz w:val="24"/>
              </w:rPr>
              <w:t>止；经劝阻、制止无效的，应当立即告知燃气</w:t>
            </w:r>
            <w:r>
              <w:rPr>
                <w:spacing w:val="-10"/>
                <w:sz w:val="24"/>
              </w:rPr>
              <w:t>经营者或者向燃气管理部门、安全生产监督管</w:t>
            </w:r>
            <w:r>
              <w:rPr>
                <w:spacing w:val="-2"/>
                <w:sz w:val="24"/>
              </w:rPr>
              <w:t>理部门和公安机关报告。</w:t>
            </w:r>
          </w:p>
        </w:tc>
        <w:tc>
          <w:tcPr>
            <w:tcW w:w="4954" w:type="dxa"/>
          </w:tcPr>
          <w:p>
            <w:pPr>
              <w:pStyle w:val="10"/>
              <w:rPr>
                <w:rFonts w:ascii="PMingLiU"/>
                <w:sz w:val="24"/>
              </w:rPr>
            </w:pPr>
          </w:p>
          <w:p>
            <w:pPr>
              <w:pStyle w:val="10"/>
              <w:rPr>
                <w:rFonts w:ascii="PMingLiU"/>
                <w:sz w:val="24"/>
              </w:rPr>
            </w:pPr>
          </w:p>
          <w:p>
            <w:pPr>
              <w:pStyle w:val="10"/>
              <w:spacing w:before="2"/>
              <w:rPr>
                <w:rFonts w:ascii="PMingLiU"/>
                <w:sz w:val="27"/>
              </w:rPr>
            </w:pPr>
          </w:p>
          <w:p>
            <w:pPr>
              <w:pStyle w:val="10"/>
              <w:spacing w:line="312" w:lineRule="auto"/>
              <w:ind w:left="106" w:right="95"/>
              <w:jc w:val="both"/>
              <w:rPr>
                <w:sz w:val="24"/>
              </w:rPr>
            </w:pPr>
            <w:r>
              <w:rPr>
                <w:spacing w:val="-4"/>
                <w:sz w:val="24"/>
              </w:rPr>
              <w:t>《城镇燃气管理条例》第五十一条第二款：违反本条例规定，毁损、覆盖、涂改、擅自拆除</w:t>
            </w:r>
            <w:r>
              <w:rPr>
                <w:spacing w:val="-6"/>
                <w:sz w:val="24"/>
              </w:rPr>
              <w:t>或者移动燃气设施安全警示标志的，由燃气管</w:t>
            </w:r>
            <w:r>
              <w:rPr>
                <w:w w:val="95"/>
                <w:sz w:val="24"/>
              </w:rPr>
              <w:t>理部门责令限期改正</w:t>
            </w:r>
            <w:r>
              <w:rPr>
                <w:spacing w:val="-60"/>
                <w:w w:val="95"/>
                <w:sz w:val="24"/>
              </w:rPr>
              <w:t>，</w:t>
            </w:r>
            <w:r>
              <w:rPr>
                <w:w w:val="95"/>
                <w:sz w:val="24"/>
              </w:rPr>
              <w:t>恢复原状</w:t>
            </w:r>
            <w:r>
              <w:rPr>
                <w:spacing w:val="-63"/>
                <w:w w:val="95"/>
                <w:sz w:val="24"/>
              </w:rPr>
              <w:t>，</w:t>
            </w:r>
            <w:r>
              <w:rPr>
                <w:w w:val="95"/>
                <w:sz w:val="24"/>
              </w:rPr>
              <w:t>可以处 5000</w:t>
            </w:r>
            <w:r>
              <w:rPr>
                <w:spacing w:val="-2"/>
                <w:sz w:val="24"/>
              </w:rPr>
              <w:t>元以下罚款。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31"/>
              </w:rPr>
            </w:pPr>
          </w:p>
          <w:p>
            <w:pPr>
              <w:pStyle w:val="10"/>
              <w:spacing w:line="312" w:lineRule="auto"/>
              <w:ind w:left="106" w:right="98"/>
              <w:jc w:val="both"/>
              <w:rPr>
                <w:sz w:val="24"/>
              </w:rPr>
            </w:pPr>
            <w:r>
              <w:rPr>
                <w:spacing w:val="36"/>
                <w:sz w:val="24"/>
              </w:rPr>
              <w:t>市县城市建设行政</w:t>
            </w:r>
            <w:r>
              <w:rPr>
                <w:spacing w:val="-4"/>
                <w:sz w:val="24"/>
              </w:rPr>
              <w:t>主管部门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0" w:hRule="atLeast"/>
        </w:trPr>
        <w:tc>
          <w:tcPr>
            <w:tcW w:w="785" w:type="dxa"/>
          </w:tcPr>
          <w:p>
            <w:pPr>
              <w:pStyle w:val="10"/>
              <w:rPr>
                <w:rFonts w:ascii="PMingLiU"/>
                <w:sz w:val="32"/>
              </w:rPr>
            </w:pPr>
          </w:p>
          <w:p>
            <w:pPr>
              <w:pStyle w:val="10"/>
              <w:spacing w:before="13"/>
              <w:rPr>
                <w:rFonts w:ascii="PMingLiU"/>
                <w:sz w:val="34"/>
              </w:rPr>
            </w:pPr>
          </w:p>
          <w:p>
            <w:pPr>
              <w:pStyle w:val="10"/>
              <w:ind w:right="221"/>
              <w:jc w:val="right"/>
              <w:rPr>
                <w:rFonts w:ascii="黑体"/>
                <w:sz w:val="32"/>
              </w:rPr>
            </w:pPr>
            <w:r>
              <w:rPr>
                <w:rFonts w:ascii="黑体"/>
                <w:spacing w:val="-5"/>
                <w:sz w:val="32"/>
              </w:rPr>
              <w:t>27</w:t>
            </w:r>
          </w:p>
        </w:tc>
        <w:tc>
          <w:tcPr>
            <w:tcW w:w="1949" w:type="dxa"/>
          </w:tcPr>
          <w:p>
            <w:pPr>
              <w:pStyle w:val="10"/>
              <w:rPr>
                <w:rFonts w:ascii="PMingLiU"/>
                <w:sz w:val="24"/>
              </w:rPr>
            </w:pPr>
          </w:p>
          <w:p>
            <w:pPr>
              <w:pStyle w:val="10"/>
              <w:spacing w:before="4"/>
              <w:rPr>
                <w:rFonts w:ascii="PMingLiU"/>
                <w:sz w:val="20"/>
              </w:rPr>
            </w:pPr>
          </w:p>
          <w:p>
            <w:pPr>
              <w:pStyle w:val="10"/>
              <w:spacing w:before="1" w:line="312" w:lineRule="auto"/>
              <w:ind w:left="106" w:right="97"/>
              <w:jc w:val="both"/>
              <w:rPr>
                <w:sz w:val="24"/>
              </w:rPr>
            </w:pPr>
            <w:r>
              <w:rPr>
                <w:spacing w:val="-2"/>
                <w:sz w:val="24"/>
              </w:rPr>
              <w:t>房屋租赁当事人未办理房屋租赁</w:t>
            </w:r>
            <w:r>
              <w:rPr>
                <w:spacing w:val="-4"/>
                <w:sz w:val="24"/>
              </w:rPr>
              <w:t>登记备案</w:t>
            </w:r>
          </w:p>
        </w:tc>
        <w:tc>
          <w:tcPr>
            <w:tcW w:w="4917" w:type="dxa"/>
          </w:tcPr>
          <w:p>
            <w:pPr>
              <w:pStyle w:val="10"/>
              <w:spacing w:before="12"/>
              <w:rPr>
                <w:rFonts w:ascii="PMingLiU"/>
                <w:sz w:val="15"/>
              </w:rPr>
            </w:pPr>
          </w:p>
          <w:p>
            <w:pPr>
              <w:pStyle w:val="10"/>
              <w:spacing w:line="312" w:lineRule="auto"/>
              <w:ind w:left="108" w:right="-15"/>
              <w:rPr>
                <w:sz w:val="24"/>
              </w:rPr>
            </w:pPr>
            <w:r>
              <w:rPr>
                <w:spacing w:val="-2"/>
                <w:sz w:val="24"/>
              </w:rPr>
              <w:t>《商品房屋租赁管理办法》第十四条第一款：</w:t>
            </w:r>
            <w:r>
              <w:rPr>
                <w:spacing w:val="-10"/>
                <w:sz w:val="24"/>
              </w:rPr>
              <w:t>房屋租赁合同订立后三十日内，房屋租赁当事</w:t>
            </w:r>
            <w:r>
              <w:rPr>
                <w:spacing w:val="-9"/>
                <w:sz w:val="24"/>
              </w:rPr>
              <w:t>人应当到租赁房屋所在地直辖市、市、县人民</w:t>
            </w:r>
            <w:r>
              <w:rPr>
                <w:spacing w:val="-15"/>
                <w:sz w:val="24"/>
              </w:rPr>
              <w:t>政府建设</w:t>
            </w:r>
            <w:r>
              <w:rPr>
                <w:spacing w:val="-2"/>
                <w:sz w:val="24"/>
              </w:rPr>
              <w:t>（房地产</w:t>
            </w:r>
            <w:r>
              <w:rPr>
                <w:spacing w:val="-51"/>
                <w:sz w:val="24"/>
              </w:rPr>
              <w:t>）</w:t>
            </w:r>
            <w:r>
              <w:rPr>
                <w:spacing w:val="-2"/>
                <w:sz w:val="24"/>
              </w:rPr>
              <w:t>主管部门办理</w:t>
            </w:r>
            <w:r>
              <w:fldChar w:fldCharType="begin"/>
            </w:r>
            <w:r>
              <w:instrText xml:space="preserve"> HYPERLINK "https://baike.baidu.com/item/%E6%88%BF%E5%B1%8B%E7%A7%9F%E8%B5%81%E7%99%BB%E8%AE%B0/9767013" \h </w:instrText>
            </w:r>
            <w:r>
              <w:fldChar w:fldCharType="separate"/>
            </w:r>
            <w:r>
              <w:rPr>
                <w:spacing w:val="-2"/>
                <w:sz w:val="24"/>
              </w:rPr>
              <w:t>房屋租赁登</w:t>
            </w:r>
            <w:r>
              <w:rPr>
                <w:spacing w:val="-2"/>
                <w:sz w:val="24"/>
              </w:rPr>
              <w:fldChar w:fldCharType="end"/>
            </w:r>
            <w:r>
              <w:rPr>
                <w:spacing w:val="-4"/>
                <w:sz w:val="24"/>
              </w:rPr>
              <w:t>记备案。</w:t>
            </w:r>
          </w:p>
        </w:tc>
        <w:tc>
          <w:tcPr>
            <w:tcW w:w="4954" w:type="dxa"/>
          </w:tcPr>
          <w:p>
            <w:pPr>
              <w:pStyle w:val="10"/>
              <w:spacing w:before="65" w:line="297" w:lineRule="auto"/>
              <w:ind w:left="106" w:right="95"/>
              <w:jc w:val="both"/>
              <w:rPr>
                <w:sz w:val="24"/>
              </w:rPr>
            </w:pPr>
            <w:r>
              <w:rPr>
                <w:spacing w:val="-4"/>
                <w:sz w:val="24"/>
              </w:rPr>
              <w:t>《商品房屋租赁管理办法》第二十三条：违反本办法第十四条第一款、第十九条规定，由直辖市、市、县人民政府建设（房地产）主管部门责令限期改正；个人逾期不改正的，处以一</w:t>
            </w:r>
            <w:r>
              <w:rPr>
                <w:spacing w:val="-5"/>
                <w:sz w:val="24"/>
              </w:rPr>
              <w:t>千元以下罚款；单位逾期不改正的，处以一千</w:t>
            </w:r>
          </w:p>
          <w:p>
            <w:pPr>
              <w:pStyle w:val="10"/>
              <w:spacing w:line="288" w:lineRule="exact"/>
              <w:ind w:left="106"/>
              <w:rPr>
                <w:sz w:val="24"/>
              </w:rPr>
            </w:pPr>
            <w:r>
              <w:rPr>
                <w:spacing w:val="-1"/>
                <w:sz w:val="24"/>
              </w:rPr>
              <w:t>元以上一万元以下罚款。</w:t>
            </w:r>
          </w:p>
        </w:tc>
        <w:tc>
          <w:tcPr>
            <w:tcW w:w="1340" w:type="dxa"/>
          </w:tcPr>
          <w:p>
            <w:pPr>
              <w:pStyle w:val="10"/>
              <w:rPr>
                <w:rFonts w:ascii="PMingLiU"/>
                <w:sz w:val="24"/>
              </w:rPr>
            </w:pPr>
          </w:p>
          <w:p>
            <w:pPr>
              <w:pStyle w:val="10"/>
              <w:spacing w:before="4"/>
              <w:rPr>
                <w:rFonts w:ascii="PMingLiU"/>
                <w:sz w:val="20"/>
              </w:rPr>
            </w:pPr>
          </w:p>
          <w:p>
            <w:pPr>
              <w:pStyle w:val="10"/>
              <w:spacing w:before="1" w:line="312" w:lineRule="auto"/>
              <w:ind w:left="106" w:right="95"/>
              <w:jc w:val="both"/>
              <w:rPr>
                <w:sz w:val="24"/>
              </w:rPr>
            </w:pPr>
            <w:r>
              <w:rPr>
                <w:spacing w:val="38"/>
                <w:sz w:val="24"/>
              </w:rPr>
              <w:t>市县房地</w:t>
            </w:r>
            <w:r>
              <w:rPr>
                <w:spacing w:val="36"/>
                <w:sz w:val="24"/>
              </w:rPr>
              <w:t>产行政主</w:t>
            </w:r>
            <w:r>
              <w:rPr>
                <w:spacing w:val="-4"/>
                <w:sz w:val="24"/>
              </w:rPr>
              <w:t>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0" w:hRule="atLeast"/>
        </w:trPr>
        <w:tc>
          <w:tcPr>
            <w:tcW w:w="785" w:type="dxa"/>
          </w:tcPr>
          <w:p>
            <w:pPr>
              <w:pStyle w:val="10"/>
              <w:rPr>
                <w:rFonts w:ascii="PMingLiU"/>
                <w:sz w:val="32"/>
              </w:rPr>
            </w:pPr>
          </w:p>
          <w:p>
            <w:pPr>
              <w:pStyle w:val="10"/>
              <w:rPr>
                <w:rFonts w:ascii="PMingLiU"/>
                <w:sz w:val="32"/>
              </w:rPr>
            </w:pPr>
          </w:p>
          <w:p>
            <w:pPr>
              <w:pStyle w:val="10"/>
              <w:spacing w:before="230"/>
              <w:ind w:right="221"/>
              <w:jc w:val="right"/>
              <w:rPr>
                <w:rFonts w:ascii="黑体"/>
                <w:sz w:val="32"/>
              </w:rPr>
            </w:pPr>
            <w:r>
              <w:rPr>
                <w:rFonts w:ascii="黑体"/>
                <w:spacing w:val="-5"/>
                <w:sz w:val="32"/>
              </w:rPr>
              <w:t>28</w:t>
            </w:r>
          </w:p>
        </w:tc>
        <w:tc>
          <w:tcPr>
            <w:tcW w:w="1949" w:type="dxa"/>
          </w:tcPr>
          <w:p>
            <w:pPr>
              <w:pStyle w:val="10"/>
              <w:rPr>
                <w:rFonts w:ascii="PMingLiU"/>
                <w:sz w:val="24"/>
              </w:rPr>
            </w:pPr>
          </w:p>
          <w:p>
            <w:pPr>
              <w:pStyle w:val="10"/>
              <w:rPr>
                <w:rFonts w:ascii="PMingLiU"/>
                <w:sz w:val="24"/>
              </w:rPr>
            </w:pPr>
          </w:p>
          <w:p>
            <w:pPr>
              <w:pStyle w:val="10"/>
              <w:spacing w:before="4"/>
              <w:rPr>
                <w:rFonts w:ascii="PMingLiU"/>
                <w:sz w:val="24"/>
              </w:rPr>
            </w:pPr>
          </w:p>
          <w:p>
            <w:pPr>
              <w:pStyle w:val="10"/>
              <w:spacing w:line="312" w:lineRule="auto"/>
              <w:ind w:left="106" w:right="97"/>
              <w:rPr>
                <w:sz w:val="24"/>
              </w:rPr>
            </w:pPr>
            <w:r>
              <w:rPr>
                <w:spacing w:val="-2"/>
                <w:sz w:val="24"/>
              </w:rPr>
              <w:t>未按规定投放生</w:t>
            </w:r>
            <w:r>
              <w:rPr>
                <w:spacing w:val="-4"/>
                <w:sz w:val="24"/>
              </w:rPr>
              <w:t>活垃圾</w:t>
            </w:r>
          </w:p>
        </w:tc>
        <w:tc>
          <w:tcPr>
            <w:tcW w:w="4917" w:type="dxa"/>
          </w:tcPr>
          <w:p>
            <w:pPr>
              <w:pStyle w:val="10"/>
              <w:rPr>
                <w:rFonts w:ascii="PMingLiU"/>
                <w:sz w:val="24"/>
              </w:rPr>
            </w:pPr>
          </w:p>
          <w:p>
            <w:pPr>
              <w:pStyle w:val="10"/>
              <w:spacing w:before="8"/>
              <w:rPr>
                <w:rFonts w:ascii="PMingLiU"/>
                <w:sz w:val="19"/>
              </w:rPr>
            </w:pPr>
          </w:p>
          <w:p>
            <w:pPr>
              <w:pStyle w:val="10"/>
              <w:spacing w:before="1" w:line="312" w:lineRule="auto"/>
              <w:ind w:left="108" w:right="-29"/>
              <w:rPr>
                <w:sz w:val="24"/>
              </w:rPr>
            </w:pPr>
            <w:r>
              <w:rPr>
                <w:spacing w:val="-9"/>
                <w:sz w:val="24"/>
              </w:rPr>
              <w:t>《安徽省生活垃圾分类管理条例》第二十一条</w:t>
            </w:r>
            <w:r>
              <w:rPr>
                <w:spacing w:val="-13"/>
                <w:sz w:val="24"/>
              </w:rPr>
              <w:t>第二款：任何单位和个人都应当依法在指定的</w:t>
            </w:r>
            <w:r>
              <w:rPr>
                <w:spacing w:val="-18"/>
                <w:sz w:val="24"/>
              </w:rPr>
              <w:t>地点分类投放生活垃圾。禁止随意倾倒、抛撒、</w:t>
            </w:r>
            <w:r>
              <w:rPr>
                <w:spacing w:val="-2"/>
                <w:sz w:val="24"/>
              </w:rPr>
              <w:t>堆放、焚烧或者填埋生活垃圾。</w:t>
            </w:r>
          </w:p>
        </w:tc>
        <w:tc>
          <w:tcPr>
            <w:tcW w:w="4954" w:type="dxa"/>
          </w:tcPr>
          <w:p>
            <w:pPr>
              <w:pStyle w:val="10"/>
              <w:spacing w:before="65" w:line="297" w:lineRule="auto"/>
              <w:ind w:left="106" w:right="-29"/>
              <w:rPr>
                <w:sz w:val="24"/>
              </w:rPr>
            </w:pPr>
            <w:r>
              <w:rPr>
                <w:spacing w:val="8"/>
                <w:sz w:val="24"/>
              </w:rPr>
              <w:t>《安徽省生活垃圾分类管理条例》第四十三</w:t>
            </w:r>
            <w:r>
              <w:rPr>
                <w:spacing w:val="-15"/>
                <w:sz w:val="24"/>
              </w:rPr>
              <w:t>条：违反本条例第二十一条第二款规定，单位、</w:t>
            </w:r>
            <w:r>
              <w:rPr>
                <w:spacing w:val="-18"/>
                <w:sz w:val="24"/>
              </w:rPr>
              <w:t>个人未在指定的地点分类投放生活垃圾的，由</w:t>
            </w:r>
            <w:r>
              <w:rPr>
                <w:spacing w:val="8"/>
                <w:sz w:val="24"/>
              </w:rPr>
              <w:t>县级以上人民政府生活垃圾分类监督管理部</w:t>
            </w:r>
            <w:r>
              <w:rPr>
                <w:spacing w:val="-3"/>
                <w:sz w:val="24"/>
              </w:rPr>
              <w:t>门责令改正；情节严重的，对单位处五万元以</w:t>
            </w:r>
            <w:r>
              <w:rPr>
                <w:spacing w:val="-9"/>
                <w:sz w:val="24"/>
              </w:rPr>
              <w:t>上五十万元以下罚款，对个人处五十元以上二</w:t>
            </w:r>
          </w:p>
          <w:p>
            <w:pPr>
              <w:pStyle w:val="10"/>
              <w:spacing w:line="287" w:lineRule="exact"/>
              <w:ind w:left="106"/>
              <w:rPr>
                <w:sz w:val="24"/>
              </w:rPr>
            </w:pPr>
            <w:r>
              <w:rPr>
                <w:spacing w:val="-2"/>
                <w:sz w:val="24"/>
              </w:rPr>
              <w:t>百元以下罚款。</w:t>
            </w:r>
          </w:p>
        </w:tc>
        <w:tc>
          <w:tcPr>
            <w:tcW w:w="1340" w:type="dxa"/>
          </w:tcPr>
          <w:p>
            <w:pPr>
              <w:pStyle w:val="10"/>
              <w:spacing w:before="5"/>
              <w:rPr>
                <w:rFonts w:ascii="PMingLiU"/>
                <w:sz w:val="29"/>
              </w:rPr>
            </w:pPr>
          </w:p>
          <w:p>
            <w:pPr>
              <w:pStyle w:val="10"/>
              <w:spacing w:line="312" w:lineRule="auto"/>
              <w:ind w:left="106" w:right="98"/>
              <w:jc w:val="both"/>
              <w:rPr>
                <w:sz w:val="24"/>
              </w:rPr>
            </w:pPr>
            <w:r>
              <w:rPr>
                <w:spacing w:val="36"/>
                <w:sz w:val="24"/>
              </w:rPr>
              <w:t>县级以上人民政府生活垃圾分类监督</w:t>
            </w:r>
            <w:r>
              <w:rPr>
                <w:spacing w:val="-4"/>
                <w:sz w:val="24"/>
              </w:rPr>
              <w:t>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7"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254"/>
              <w:ind w:right="221"/>
              <w:jc w:val="right"/>
              <w:rPr>
                <w:rFonts w:ascii="黑体"/>
                <w:sz w:val="32"/>
              </w:rPr>
            </w:pPr>
            <w:r>
              <w:rPr>
                <w:rFonts w:ascii="黑体"/>
                <w:spacing w:val="-5"/>
                <w:sz w:val="32"/>
              </w:rPr>
              <w:t>29</w:t>
            </w:r>
          </w:p>
        </w:tc>
        <w:tc>
          <w:tcPr>
            <w:tcW w:w="1949" w:type="dxa"/>
          </w:tcPr>
          <w:p>
            <w:pPr>
              <w:pStyle w:val="10"/>
              <w:rPr>
                <w:rFonts w:ascii="PMingLiU"/>
                <w:sz w:val="24"/>
              </w:rPr>
            </w:pPr>
          </w:p>
          <w:p>
            <w:pPr>
              <w:pStyle w:val="10"/>
              <w:rPr>
                <w:rFonts w:ascii="PMingLiU"/>
                <w:sz w:val="24"/>
              </w:rPr>
            </w:pPr>
          </w:p>
          <w:p>
            <w:pPr>
              <w:pStyle w:val="10"/>
              <w:spacing w:before="5"/>
              <w:rPr>
                <w:rFonts w:ascii="PMingLiU"/>
                <w:sz w:val="29"/>
              </w:rPr>
            </w:pPr>
          </w:p>
          <w:p>
            <w:pPr>
              <w:pStyle w:val="10"/>
              <w:spacing w:line="312" w:lineRule="auto"/>
              <w:ind w:left="106" w:right="97"/>
              <w:jc w:val="both"/>
              <w:rPr>
                <w:sz w:val="24"/>
              </w:rPr>
            </w:pPr>
            <w:r>
              <w:rPr>
                <w:spacing w:val="13"/>
                <w:w w:val="95"/>
                <w:sz w:val="24"/>
              </w:rPr>
              <w:t>阳台 和平 台堆</w:t>
            </w:r>
            <w:r>
              <w:rPr>
                <w:spacing w:val="-2"/>
                <w:sz w:val="24"/>
              </w:rPr>
              <w:t>放、吊挂有碍市</w:t>
            </w:r>
            <w:r>
              <w:rPr>
                <w:spacing w:val="-4"/>
                <w:sz w:val="24"/>
              </w:rPr>
              <w:t>容的物品</w:t>
            </w:r>
          </w:p>
        </w:tc>
        <w:tc>
          <w:tcPr>
            <w:tcW w:w="4917" w:type="dxa"/>
          </w:tcPr>
          <w:p>
            <w:pPr>
              <w:pStyle w:val="10"/>
              <w:spacing w:before="6"/>
              <w:rPr>
                <w:rFonts w:ascii="PMingLiU"/>
                <w:sz w:val="34"/>
              </w:rPr>
            </w:pPr>
          </w:p>
          <w:p>
            <w:pPr>
              <w:pStyle w:val="10"/>
              <w:spacing w:line="312" w:lineRule="auto"/>
              <w:ind w:left="108" w:right="94"/>
              <w:jc w:val="both"/>
              <w:rPr>
                <w:sz w:val="24"/>
              </w:rPr>
            </w:pPr>
            <w:r>
              <w:rPr>
                <w:spacing w:val="-8"/>
                <w:sz w:val="24"/>
              </w:rPr>
              <w:t>《安徽省城市市容和环境卫生管理条例》第十</w:t>
            </w:r>
            <w:r>
              <w:rPr>
                <w:spacing w:val="-13"/>
                <w:sz w:val="24"/>
              </w:rPr>
              <w:t>二条第二款：鼓励在主要街道临街建筑物的阳</w:t>
            </w:r>
            <w:r>
              <w:rPr>
                <w:spacing w:val="-10"/>
                <w:sz w:val="24"/>
              </w:rPr>
              <w:t>台和平台上种花、种草或者进行装饰美化。禁</w:t>
            </w:r>
            <w:r>
              <w:rPr>
                <w:spacing w:val="-13"/>
                <w:sz w:val="24"/>
              </w:rPr>
              <w:t>止堆放、吊挂有碍市容的物品。搭建或者封闭</w:t>
            </w:r>
            <w:r>
              <w:rPr>
                <w:spacing w:val="-6"/>
                <w:sz w:val="24"/>
              </w:rPr>
              <w:t>露台、阳台、外走廊等，应当符合城市人民政</w:t>
            </w:r>
            <w:r>
              <w:rPr>
                <w:spacing w:val="-8"/>
                <w:sz w:val="24"/>
              </w:rPr>
              <w:t>府市容环境卫生行政主管部门的规定，并保证</w:t>
            </w:r>
            <w:r>
              <w:rPr>
                <w:spacing w:val="-2"/>
                <w:sz w:val="24"/>
              </w:rPr>
              <w:t>行人安全。</w:t>
            </w:r>
          </w:p>
        </w:tc>
        <w:tc>
          <w:tcPr>
            <w:tcW w:w="4954" w:type="dxa"/>
          </w:tcPr>
          <w:p>
            <w:pPr>
              <w:pStyle w:val="10"/>
              <w:spacing w:before="81" w:line="312" w:lineRule="auto"/>
              <w:ind w:left="106" w:right="35"/>
              <w:jc w:val="both"/>
              <w:rPr>
                <w:sz w:val="24"/>
              </w:rPr>
            </w:pPr>
            <w:r>
              <w:rPr>
                <w:spacing w:val="-6"/>
                <w:sz w:val="24"/>
              </w:rPr>
              <w:t>《安徽省城市市容和环境卫生管理条例》第四</w:t>
            </w:r>
            <w:r>
              <w:rPr>
                <w:spacing w:val="-2"/>
                <w:sz w:val="24"/>
              </w:rPr>
              <w:t>十二条第一项：有下列行为之一的，城市人民</w:t>
            </w:r>
            <w:r>
              <w:rPr>
                <w:sz w:val="24"/>
              </w:rPr>
              <w:t>政府市容环境卫生行政主管部门除责令纠正</w:t>
            </w:r>
            <w:r>
              <w:rPr>
                <w:spacing w:val="-2"/>
                <w:sz w:val="24"/>
              </w:rPr>
              <w:t>违法行为、采取补救措施外，可以给予警告，并可按照下列规定处以罚款：</w:t>
            </w:r>
          </w:p>
          <w:p>
            <w:pPr>
              <w:pStyle w:val="10"/>
              <w:spacing w:line="312" w:lineRule="auto"/>
              <w:ind w:left="106" w:right="97"/>
              <w:jc w:val="both"/>
              <w:rPr>
                <w:sz w:val="24"/>
              </w:rPr>
            </w:pPr>
            <w:r>
              <w:rPr>
                <w:spacing w:val="-4"/>
                <w:sz w:val="24"/>
              </w:rPr>
              <w:t>（一）违反第十二条第二款规定，在主要街道</w:t>
            </w:r>
            <w:r>
              <w:rPr>
                <w:spacing w:val="-6"/>
                <w:sz w:val="24"/>
              </w:rPr>
              <w:t>临街建筑物的阳台和平台上长期堆放、吊挂有</w:t>
            </w:r>
            <w:r>
              <w:rPr>
                <w:spacing w:val="-4"/>
                <w:sz w:val="24"/>
              </w:rPr>
              <w:t xml:space="preserve">碍市容的物品，拒不改正的，处以 </w:t>
            </w:r>
            <w:r>
              <w:rPr>
                <w:sz w:val="24"/>
              </w:rPr>
              <w:t>20</w:t>
            </w:r>
            <w:r>
              <w:rPr>
                <w:spacing w:val="-13"/>
                <w:sz w:val="24"/>
              </w:rPr>
              <w:t xml:space="preserve"> 元以上</w:t>
            </w:r>
          </w:p>
          <w:p>
            <w:pPr>
              <w:pStyle w:val="10"/>
              <w:spacing w:before="1" w:line="298" w:lineRule="exact"/>
              <w:ind w:left="106"/>
              <w:jc w:val="both"/>
              <w:rPr>
                <w:sz w:val="24"/>
              </w:rPr>
            </w:pPr>
            <w:r>
              <w:rPr>
                <w:sz w:val="24"/>
              </w:rPr>
              <w:t>50</w:t>
            </w:r>
            <w:r>
              <w:rPr>
                <w:spacing w:val="-10"/>
                <w:sz w:val="24"/>
              </w:rPr>
              <w:t xml:space="preserve"> 元以下的罚款。</w:t>
            </w:r>
          </w:p>
        </w:tc>
        <w:tc>
          <w:tcPr>
            <w:tcW w:w="1340" w:type="dxa"/>
          </w:tcPr>
          <w:p>
            <w:pPr>
              <w:pStyle w:val="10"/>
              <w:rPr>
                <w:rFonts w:ascii="PMingLiU"/>
                <w:sz w:val="24"/>
              </w:rPr>
            </w:pPr>
          </w:p>
          <w:p>
            <w:pPr>
              <w:pStyle w:val="10"/>
              <w:rPr>
                <w:rFonts w:ascii="PMingLiU"/>
                <w:sz w:val="24"/>
              </w:rPr>
            </w:pPr>
          </w:p>
          <w:p>
            <w:pPr>
              <w:pStyle w:val="10"/>
              <w:spacing w:before="209" w:line="312" w:lineRule="auto"/>
              <w:ind w:left="106" w:right="98"/>
              <w:jc w:val="both"/>
              <w:rPr>
                <w:sz w:val="24"/>
              </w:rPr>
            </w:pPr>
            <w:r>
              <w:rPr>
                <w:spacing w:val="36"/>
                <w:sz w:val="24"/>
              </w:rPr>
              <w:t>城市人民政府市容环境卫生行政主管</w:t>
            </w:r>
            <w:r>
              <w:rPr>
                <w:spacing w:val="-6"/>
                <w:sz w:val="24"/>
              </w:rPr>
              <w:t>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6"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9"/>
              <w:rPr>
                <w:rFonts w:ascii="PMingLiU"/>
                <w:sz w:val="41"/>
              </w:rPr>
            </w:pPr>
          </w:p>
          <w:p>
            <w:pPr>
              <w:pStyle w:val="10"/>
              <w:ind w:right="221"/>
              <w:jc w:val="right"/>
              <w:rPr>
                <w:rFonts w:ascii="黑体"/>
                <w:sz w:val="32"/>
              </w:rPr>
            </w:pPr>
            <w:r>
              <w:rPr>
                <w:rFonts w:ascii="黑体"/>
                <w:spacing w:val="-5"/>
                <w:sz w:val="32"/>
              </w:rPr>
              <w:t>30</w:t>
            </w:r>
          </w:p>
        </w:tc>
        <w:tc>
          <w:tcPr>
            <w:tcW w:w="1949" w:type="dxa"/>
          </w:tcPr>
          <w:p>
            <w:pPr>
              <w:pStyle w:val="10"/>
              <w:rPr>
                <w:rFonts w:ascii="PMingLiU"/>
                <w:sz w:val="24"/>
              </w:rPr>
            </w:pPr>
          </w:p>
          <w:p>
            <w:pPr>
              <w:pStyle w:val="10"/>
              <w:spacing w:before="12"/>
              <w:rPr>
                <w:rFonts w:ascii="PMingLiU"/>
                <w:sz w:val="33"/>
              </w:rPr>
            </w:pPr>
          </w:p>
          <w:p>
            <w:pPr>
              <w:pStyle w:val="10"/>
              <w:spacing w:line="312" w:lineRule="auto"/>
              <w:ind w:left="106" w:right="97"/>
              <w:jc w:val="both"/>
              <w:rPr>
                <w:sz w:val="24"/>
              </w:rPr>
            </w:pPr>
            <w:r>
              <w:rPr>
                <w:spacing w:val="-2"/>
                <w:sz w:val="24"/>
              </w:rPr>
              <w:t>未按照规定在主要临街城市建筑物上安装空调室</w:t>
            </w:r>
            <w:r>
              <w:rPr>
                <w:spacing w:val="-11"/>
                <w:sz w:val="24"/>
              </w:rPr>
              <w:t>外机 、 排 气扇</w:t>
            </w:r>
          </w:p>
          <w:p>
            <w:pPr>
              <w:pStyle w:val="10"/>
              <w:spacing w:line="307" w:lineRule="exact"/>
              <w:ind w:left="106"/>
              <w:rPr>
                <w:sz w:val="24"/>
              </w:rPr>
            </w:pPr>
            <w:r>
              <w:rPr>
                <w:sz w:val="24"/>
              </w:rPr>
              <w:t>（管）</w:t>
            </w:r>
            <w:r>
              <w:rPr>
                <w:spacing w:val="-3"/>
                <w:sz w:val="24"/>
              </w:rPr>
              <w:t>、防盗窗</w:t>
            </w:r>
          </w:p>
          <w:p>
            <w:pPr>
              <w:pStyle w:val="10"/>
              <w:spacing w:before="94" w:line="312" w:lineRule="auto"/>
              <w:ind w:left="106" w:right="-29"/>
              <w:rPr>
                <w:sz w:val="24"/>
              </w:rPr>
            </w:pPr>
            <w:r>
              <w:rPr>
                <w:spacing w:val="-10"/>
                <w:sz w:val="24"/>
              </w:rPr>
              <w:t>（网）、遮阳蓬、</w:t>
            </w:r>
            <w:r>
              <w:rPr>
                <w:spacing w:val="-2"/>
                <w:sz w:val="24"/>
              </w:rPr>
              <w:t>太阳能热水器</w:t>
            </w:r>
          </w:p>
        </w:tc>
        <w:tc>
          <w:tcPr>
            <w:tcW w:w="4917" w:type="dxa"/>
          </w:tcPr>
          <w:p>
            <w:pPr>
              <w:pStyle w:val="10"/>
              <w:rPr>
                <w:rFonts w:ascii="PMingLiU"/>
                <w:sz w:val="24"/>
              </w:rPr>
            </w:pPr>
          </w:p>
          <w:p>
            <w:pPr>
              <w:pStyle w:val="10"/>
              <w:rPr>
                <w:rFonts w:ascii="PMingLiU"/>
                <w:sz w:val="24"/>
              </w:rPr>
            </w:pPr>
          </w:p>
          <w:p>
            <w:pPr>
              <w:pStyle w:val="10"/>
              <w:spacing w:before="2"/>
              <w:rPr>
                <w:rFonts w:ascii="PMingLiU"/>
                <w:sz w:val="24"/>
              </w:rPr>
            </w:pPr>
          </w:p>
          <w:p>
            <w:pPr>
              <w:pStyle w:val="10"/>
              <w:spacing w:line="312" w:lineRule="auto"/>
              <w:ind w:left="108" w:right="92"/>
              <w:jc w:val="both"/>
              <w:rPr>
                <w:sz w:val="24"/>
              </w:rPr>
            </w:pPr>
            <w:r>
              <w:rPr>
                <w:spacing w:val="-8"/>
                <w:sz w:val="24"/>
              </w:rPr>
              <w:t>《安徽省城市市容和环境卫生管理条例》第十</w:t>
            </w:r>
            <w:r>
              <w:rPr>
                <w:spacing w:val="-13"/>
                <w:sz w:val="24"/>
              </w:rPr>
              <w:t>三条：在城市建筑物上安装空调室外机、排气</w:t>
            </w:r>
            <w:r>
              <w:rPr>
                <w:spacing w:val="-6"/>
                <w:sz w:val="24"/>
              </w:rPr>
              <w:t>扇（管）、防盗窗（网）、遮阳篷、太阳能热</w:t>
            </w:r>
            <w:r>
              <w:rPr>
                <w:spacing w:val="-13"/>
                <w:sz w:val="24"/>
              </w:rPr>
              <w:t>水器等，应当符合城市人民政府市容环境卫生</w:t>
            </w:r>
            <w:r>
              <w:rPr>
                <w:spacing w:val="-12"/>
                <w:sz w:val="24"/>
              </w:rPr>
              <w:t>行政主管部门的规定。空调室外机的冷却水应</w:t>
            </w:r>
            <w:r>
              <w:rPr>
                <w:spacing w:val="-2"/>
                <w:sz w:val="24"/>
              </w:rPr>
              <w:t>当引入室内或者下水道，不得随意排放。</w:t>
            </w:r>
          </w:p>
        </w:tc>
        <w:tc>
          <w:tcPr>
            <w:tcW w:w="4954" w:type="dxa"/>
          </w:tcPr>
          <w:p>
            <w:pPr>
              <w:pStyle w:val="10"/>
              <w:spacing w:before="210" w:line="312" w:lineRule="auto"/>
              <w:ind w:left="106" w:right="35"/>
              <w:jc w:val="both"/>
              <w:rPr>
                <w:sz w:val="24"/>
              </w:rPr>
            </w:pPr>
            <w:r>
              <w:rPr>
                <w:spacing w:val="-6"/>
                <w:sz w:val="24"/>
              </w:rPr>
              <w:t>《安徽省城市市容和环境卫生管理条例》第四</w:t>
            </w:r>
            <w:r>
              <w:rPr>
                <w:spacing w:val="-2"/>
                <w:sz w:val="24"/>
              </w:rPr>
              <w:t>十二条第二项：有下列行为之一的，城市人民</w:t>
            </w:r>
            <w:r>
              <w:rPr>
                <w:sz w:val="24"/>
              </w:rPr>
              <w:t>政府市容环境卫生行政主管部门除责令纠正</w:t>
            </w:r>
            <w:r>
              <w:rPr>
                <w:spacing w:val="-2"/>
                <w:sz w:val="24"/>
              </w:rPr>
              <w:t>违法行为、采取补救措施外，可以给予警告，并可按照下列规定处以罚款：</w:t>
            </w:r>
          </w:p>
          <w:p>
            <w:pPr>
              <w:pStyle w:val="10"/>
              <w:spacing w:line="312" w:lineRule="auto"/>
              <w:ind w:left="106" w:right="97"/>
              <w:rPr>
                <w:sz w:val="24"/>
              </w:rPr>
            </w:pPr>
            <w:r>
              <w:rPr>
                <w:spacing w:val="-4"/>
                <w:sz w:val="24"/>
              </w:rPr>
              <w:t>（二）违反第十三条规定，未按照规定在主要</w:t>
            </w:r>
            <w:r>
              <w:rPr>
                <w:spacing w:val="-1"/>
                <w:sz w:val="24"/>
              </w:rPr>
              <w:t>临街城市建筑物上安装空调室外机、排气扇</w:t>
            </w:r>
          </w:p>
          <w:p>
            <w:pPr>
              <w:pStyle w:val="10"/>
              <w:spacing w:line="312" w:lineRule="auto"/>
              <w:ind w:left="106" w:right="92"/>
              <w:jc w:val="both"/>
              <w:rPr>
                <w:sz w:val="24"/>
              </w:rPr>
            </w:pPr>
            <w:r>
              <w:rPr>
                <w:spacing w:val="-4"/>
                <w:sz w:val="24"/>
              </w:rPr>
              <w:t>（管）、防盗窗（网）、遮阳篷、太阳能热水</w:t>
            </w:r>
            <w:r>
              <w:rPr>
                <w:w w:val="95"/>
                <w:sz w:val="24"/>
              </w:rPr>
              <w:t>器，拒不改正的，处以 50 元以上 200 元以下</w:t>
            </w:r>
            <w:r>
              <w:rPr>
                <w:spacing w:val="-4"/>
                <w:sz w:val="24"/>
              </w:rPr>
              <w:t>的罚款。</w:t>
            </w:r>
          </w:p>
        </w:tc>
        <w:tc>
          <w:tcPr>
            <w:tcW w:w="1340"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201" w:line="312" w:lineRule="auto"/>
              <w:ind w:left="106" w:right="98"/>
              <w:jc w:val="both"/>
              <w:rPr>
                <w:sz w:val="24"/>
              </w:rPr>
            </w:pPr>
            <w:r>
              <w:rPr>
                <w:spacing w:val="36"/>
                <w:sz w:val="24"/>
              </w:rPr>
              <w:t>城市人民政府市容环境卫生行政主管</w:t>
            </w:r>
            <w:r>
              <w:rPr>
                <w:spacing w:val="-6"/>
                <w:sz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8"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1"/>
              <w:rPr>
                <w:rFonts w:ascii="PMingLiU"/>
                <w:sz w:val="32"/>
              </w:rPr>
            </w:pPr>
          </w:p>
          <w:p>
            <w:pPr>
              <w:pStyle w:val="10"/>
              <w:spacing w:before="1"/>
              <w:ind w:right="221"/>
              <w:jc w:val="right"/>
              <w:rPr>
                <w:rFonts w:ascii="黑体"/>
                <w:sz w:val="32"/>
              </w:rPr>
            </w:pPr>
            <w:r>
              <w:rPr>
                <w:rFonts w:ascii="黑体"/>
                <w:spacing w:val="-5"/>
                <w:sz w:val="32"/>
              </w:rPr>
              <w:t>31</w:t>
            </w:r>
          </w:p>
        </w:tc>
        <w:tc>
          <w:tcPr>
            <w:tcW w:w="1949" w:type="dxa"/>
          </w:tcPr>
          <w:p>
            <w:pPr>
              <w:pStyle w:val="10"/>
              <w:rPr>
                <w:rFonts w:ascii="PMingLiU"/>
                <w:sz w:val="24"/>
              </w:rPr>
            </w:pPr>
          </w:p>
          <w:p>
            <w:pPr>
              <w:pStyle w:val="10"/>
              <w:rPr>
                <w:rFonts w:ascii="PMingLiU"/>
                <w:sz w:val="24"/>
              </w:rPr>
            </w:pPr>
          </w:p>
          <w:p>
            <w:pPr>
              <w:pStyle w:val="10"/>
              <w:spacing w:before="12"/>
              <w:rPr>
                <w:rFonts w:ascii="PMingLiU"/>
                <w:sz w:val="28"/>
              </w:rPr>
            </w:pPr>
          </w:p>
          <w:p>
            <w:pPr>
              <w:pStyle w:val="10"/>
              <w:spacing w:line="312" w:lineRule="auto"/>
              <w:ind w:left="106" w:right="97"/>
              <w:jc w:val="both"/>
              <w:rPr>
                <w:sz w:val="24"/>
              </w:rPr>
            </w:pPr>
            <w:r>
              <w:rPr>
                <w:spacing w:val="-2"/>
                <w:sz w:val="24"/>
              </w:rPr>
              <w:t>在城市建筑物、构筑物和其他设施以及树木上涂写、刻画或者悬挂、张贴宣传品</w:t>
            </w:r>
          </w:p>
        </w:tc>
        <w:tc>
          <w:tcPr>
            <w:tcW w:w="4917" w:type="dxa"/>
          </w:tcPr>
          <w:p>
            <w:pPr>
              <w:pStyle w:val="10"/>
              <w:spacing w:before="10"/>
              <w:rPr>
                <w:rFonts w:ascii="PMingLiU"/>
                <w:sz w:val="19"/>
              </w:rPr>
            </w:pPr>
          </w:p>
          <w:p>
            <w:pPr>
              <w:pStyle w:val="10"/>
              <w:spacing w:line="312" w:lineRule="auto"/>
              <w:ind w:left="108" w:right="94"/>
              <w:jc w:val="both"/>
              <w:rPr>
                <w:sz w:val="24"/>
              </w:rPr>
            </w:pPr>
            <w:r>
              <w:rPr>
                <w:spacing w:val="-8"/>
                <w:sz w:val="24"/>
              </w:rPr>
              <w:t>《安徽省城市市容和环境卫生管理条例》第十</w:t>
            </w:r>
            <w:r>
              <w:rPr>
                <w:spacing w:val="-11"/>
                <w:sz w:val="24"/>
              </w:rPr>
              <w:t>五条：任何单位和个人不得在城市建筑物、构</w:t>
            </w:r>
            <w:r>
              <w:rPr>
                <w:spacing w:val="-2"/>
                <w:sz w:val="24"/>
              </w:rPr>
              <w:t>筑物和其他设施以及树木上涂写、刻画。</w:t>
            </w:r>
          </w:p>
          <w:p>
            <w:pPr>
              <w:pStyle w:val="10"/>
              <w:spacing w:before="1" w:line="312" w:lineRule="auto"/>
              <w:ind w:left="108" w:right="94"/>
              <w:jc w:val="both"/>
              <w:rPr>
                <w:sz w:val="24"/>
              </w:rPr>
            </w:pPr>
            <w:r>
              <w:rPr>
                <w:spacing w:val="-11"/>
                <w:sz w:val="24"/>
              </w:rPr>
              <w:t>在城市建筑物、构筑物和其他设施上悬挂、张</w:t>
            </w:r>
            <w:r>
              <w:rPr>
                <w:spacing w:val="-13"/>
                <w:sz w:val="24"/>
              </w:rPr>
              <w:t>贴宣传品等，应当经城市人民政府市容环境卫</w:t>
            </w:r>
            <w:r>
              <w:rPr>
                <w:spacing w:val="-2"/>
                <w:sz w:val="24"/>
              </w:rPr>
              <w:t>生行政主管部门批准。</w:t>
            </w:r>
          </w:p>
          <w:p>
            <w:pPr>
              <w:pStyle w:val="10"/>
              <w:spacing w:line="312" w:lineRule="auto"/>
              <w:ind w:left="108" w:right="94"/>
              <w:jc w:val="both"/>
              <w:rPr>
                <w:sz w:val="24"/>
              </w:rPr>
            </w:pPr>
            <w:r>
              <w:rPr>
                <w:spacing w:val="-12"/>
                <w:sz w:val="24"/>
              </w:rPr>
              <w:t>零星张贴宣传品，应当张贴在城市人民政府市</w:t>
            </w:r>
            <w:r>
              <w:rPr>
                <w:spacing w:val="-2"/>
                <w:sz w:val="24"/>
              </w:rPr>
              <w:t>容环境卫生行政主管部门设置或者指定的公共张贴栏中。</w:t>
            </w:r>
          </w:p>
        </w:tc>
        <w:tc>
          <w:tcPr>
            <w:tcW w:w="4954" w:type="dxa"/>
          </w:tcPr>
          <w:p>
            <w:pPr>
              <w:pStyle w:val="10"/>
              <w:spacing w:before="10"/>
              <w:rPr>
                <w:rFonts w:ascii="PMingLiU"/>
                <w:sz w:val="19"/>
              </w:rPr>
            </w:pPr>
          </w:p>
          <w:p>
            <w:pPr>
              <w:pStyle w:val="10"/>
              <w:spacing w:line="312" w:lineRule="auto"/>
              <w:ind w:left="106" w:right="35"/>
              <w:jc w:val="both"/>
              <w:rPr>
                <w:sz w:val="24"/>
              </w:rPr>
            </w:pPr>
            <w:r>
              <w:rPr>
                <w:spacing w:val="-6"/>
                <w:sz w:val="24"/>
              </w:rPr>
              <w:t>《安徽省城市市容和环境卫生管理条例》第四</w:t>
            </w:r>
            <w:r>
              <w:rPr>
                <w:spacing w:val="-2"/>
                <w:sz w:val="24"/>
              </w:rPr>
              <w:t>十二条第四项：有下列行为之一的，城市人民</w:t>
            </w:r>
            <w:r>
              <w:rPr>
                <w:sz w:val="24"/>
              </w:rPr>
              <w:t>政府市容环境卫生行政主管部门除责令纠正</w:t>
            </w:r>
            <w:r>
              <w:rPr>
                <w:spacing w:val="-2"/>
                <w:sz w:val="24"/>
              </w:rPr>
              <w:t>违法行为、采取补救措施外，可以给予警告，并可按照下列规定处以罚款：</w:t>
            </w:r>
          </w:p>
          <w:p>
            <w:pPr>
              <w:pStyle w:val="10"/>
              <w:spacing w:line="312" w:lineRule="auto"/>
              <w:ind w:left="106" w:right="35"/>
              <w:jc w:val="both"/>
              <w:rPr>
                <w:sz w:val="24"/>
              </w:rPr>
            </w:pPr>
            <w:r>
              <w:rPr>
                <w:spacing w:val="-2"/>
                <w:sz w:val="24"/>
              </w:rPr>
              <w:t>（四）违反第十五条第一款、第二款规定，在城市建筑物、构筑物、其他设施以及树木上涂写、刻画或者未经批准悬挂、张贴宣传品的，</w:t>
            </w:r>
            <w:r>
              <w:rPr>
                <w:spacing w:val="-8"/>
                <w:sz w:val="24"/>
              </w:rPr>
              <w:t xml:space="preserve">处以 </w:t>
            </w:r>
            <w:r>
              <w:rPr>
                <w:sz w:val="24"/>
              </w:rPr>
              <w:t>100</w:t>
            </w:r>
            <w:r>
              <w:rPr>
                <w:spacing w:val="-9"/>
                <w:sz w:val="24"/>
              </w:rPr>
              <w:t xml:space="preserve"> 元以上 </w:t>
            </w:r>
            <w:r>
              <w:rPr>
                <w:sz w:val="24"/>
              </w:rPr>
              <w:t>500</w:t>
            </w:r>
            <w:r>
              <w:rPr>
                <w:spacing w:val="-5"/>
                <w:sz w:val="24"/>
              </w:rPr>
              <w:t xml:space="preserve"> 元以下的罚款。</w:t>
            </w:r>
          </w:p>
        </w:tc>
        <w:tc>
          <w:tcPr>
            <w:tcW w:w="1340" w:type="dxa"/>
          </w:tcPr>
          <w:p>
            <w:pPr>
              <w:pStyle w:val="10"/>
              <w:rPr>
                <w:rFonts w:ascii="PMingLiU"/>
                <w:sz w:val="24"/>
              </w:rPr>
            </w:pPr>
          </w:p>
          <w:p>
            <w:pPr>
              <w:pStyle w:val="10"/>
              <w:rPr>
                <w:rFonts w:ascii="PMingLiU"/>
                <w:sz w:val="24"/>
              </w:rPr>
            </w:pPr>
          </w:p>
          <w:p>
            <w:pPr>
              <w:pStyle w:val="10"/>
              <w:spacing w:before="12"/>
              <w:rPr>
                <w:rFonts w:ascii="PMingLiU"/>
                <w:sz w:val="28"/>
              </w:rPr>
            </w:pPr>
          </w:p>
          <w:p>
            <w:pPr>
              <w:pStyle w:val="10"/>
              <w:spacing w:line="312" w:lineRule="auto"/>
              <w:ind w:left="106" w:right="98"/>
              <w:jc w:val="both"/>
              <w:rPr>
                <w:sz w:val="24"/>
              </w:rPr>
            </w:pPr>
            <w:r>
              <w:rPr>
                <w:spacing w:val="36"/>
                <w:sz w:val="24"/>
              </w:rPr>
              <w:t>城市人民政府市容环境卫生行政主管</w:t>
            </w:r>
            <w:r>
              <w:rPr>
                <w:spacing w:val="-6"/>
                <w:sz w:val="24"/>
              </w:rPr>
              <w:t>部门</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785"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253"/>
              <w:ind w:right="221"/>
              <w:jc w:val="right"/>
              <w:rPr>
                <w:rFonts w:ascii="黑体"/>
                <w:sz w:val="32"/>
              </w:rPr>
            </w:pPr>
            <w:r>
              <w:rPr>
                <w:rFonts w:ascii="黑体"/>
                <w:spacing w:val="-5"/>
                <w:sz w:val="32"/>
              </w:rPr>
              <w:t>32</w:t>
            </w:r>
          </w:p>
        </w:tc>
        <w:tc>
          <w:tcPr>
            <w:tcW w:w="1949" w:type="dxa"/>
          </w:tcPr>
          <w:p>
            <w:pPr>
              <w:pStyle w:val="10"/>
              <w:rPr>
                <w:rFonts w:ascii="PMingLiU"/>
                <w:sz w:val="24"/>
              </w:rPr>
            </w:pPr>
          </w:p>
          <w:p>
            <w:pPr>
              <w:pStyle w:val="10"/>
              <w:rPr>
                <w:rFonts w:ascii="PMingLiU"/>
                <w:sz w:val="24"/>
              </w:rPr>
            </w:pPr>
          </w:p>
          <w:p>
            <w:pPr>
              <w:pStyle w:val="10"/>
              <w:spacing w:before="210" w:line="312" w:lineRule="auto"/>
              <w:ind w:left="106" w:right="-29"/>
              <w:rPr>
                <w:sz w:val="24"/>
              </w:rPr>
            </w:pPr>
            <w:r>
              <w:rPr>
                <w:spacing w:val="-2"/>
                <w:sz w:val="24"/>
              </w:rPr>
              <w:t>未履行卫生责任区清扫保洁义务或者未按照规定</w:t>
            </w:r>
            <w:r>
              <w:rPr>
                <w:spacing w:val="-12"/>
                <w:sz w:val="24"/>
              </w:rPr>
              <w:t>清运、处理垃圾、</w:t>
            </w:r>
            <w:r>
              <w:rPr>
                <w:spacing w:val="-6"/>
                <w:sz w:val="24"/>
              </w:rPr>
              <w:t>粪便</w:t>
            </w:r>
          </w:p>
        </w:tc>
        <w:tc>
          <w:tcPr>
            <w:tcW w:w="4917" w:type="dxa"/>
          </w:tcPr>
          <w:p>
            <w:pPr>
              <w:pStyle w:val="10"/>
              <w:rPr>
                <w:rFonts w:ascii="PMingLiU"/>
                <w:sz w:val="24"/>
              </w:rPr>
            </w:pPr>
          </w:p>
          <w:p>
            <w:pPr>
              <w:pStyle w:val="10"/>
              <w:rPr>
                <w:rFonts w:ascii="PMingLiU"/>
                <w:sz w:val="24"/>
              </w:rPr>
            </w:pPr>
          </w:p>
          <w:p>
            <w:pPr>
              <w:pStyle w:val="10"/>
              <w:spacing w:before="210" w:line="312" w:lineRule="auto"/>
              <w:ind w:left="108" w:right="-15"/>
              <w:jc w:val="both"/>
              <w:rPr>
                <w:sz w:val="24"/>
              </w:rPr>
            </w:pPr>
            <w:r>
              <w:rPr>
                <w:spacing w:val="-8"/>
                <w:sz w:val="24"/>
              </w:rPr>
              <w:t>《安徽省城市市容和环境卫生管理条例》第二</w:t>
            </w:r>
            <w:r>
              <w:rPr>
                <w:spacing w:val="-9"/>
                <w:sz w:val="24"/>
              </w:rPr>
              <w:t>十一条第二项：城市环境卫生的清扫保洁，按</w:t>
            </w:r>
            <w:r>
              <w:rPr>
                <w:spacing w:val="-2"/>
                <w:sz w:val="24"/>
              </w:rPr>
              <w:t>照下列规定分工负责：（二）居住区，实施物</w:t>
            </w:r>
            <w:r>
              <w:rPr>
                <w:spacing w:val="-12"/>
                <w:sz w:val="24"/>
              </w:rPr>
              <w:t>业管理的，由物业管理单位负责；未实施物业</w:t>
            </w:r>
            <w:r>
              <w:rPr>
                <w:spacing w:val="-2"/>
                <w:sz w:val="24"/>
              </w:rPr>
              <w:t>管理的，由街道办事处或者原产权单位负责。</w:t>
            </w:r>
          </w:p>
        </w:tc>
        <w:tc>
          <w:tcPr>
            <w:tcW w:w="4954" w:type="dxa"/>
          </w:tcPr>
          <w:p>
            <w:pPr>
              <w:pStyle w:val="10"/>
              <w:spacing w:before="80" w:line="312" w:lineRule="auto"/>
              <w:ind w:left="106" w:right="35"/>
              <w:jc w:val="both"/>
              <w:rPr>
                <w:sz w:val="24"/>
              </w:rPr>
            </w:pPr>
            <w:r>
              <w:rPr>
                <w:spacing w:val="-6"/>
                <w:sz w:val="24"/>
              </w:rPr>
              <w:t>《安徽省城市市容和环境卫生管理条例》第四</w:t>
            </w:r>
            <w:r>
              <w:rPr>
                <w:spacing w:val="-2"/>
                <w:sz w:val="24"/>
              </w:rPr>
              <w:t>十二条第八项：有下列行为之一的，城市人民</w:t>
            </w:r>
            <w:r>
              <w:rPr>
                <w:sz w:val="24"/>
              </w:rPr>
              <w:t>政府市容环境卫生行政主管部门除责令纠正</w:t>
            </w:r>
            <w:r>
              <w:rPr>
                <w:spacing w:val="-2"/>
                <w:sz w:val="24"/>
              </w:rPr>
              <w:t>违法行为、采取补救措施外，可以给予警告，并可按照下列规定处以罚款：</w:t>
            </w:r>
          </w:p>
          <w:p>
            <w:pPr>
              <w:pStyle w:val="10"/>
              <w:spacing w:before="3" w:line="312" w:lineRule="auto"/>
              <w:ind w:left="106" w:right="95"/>
              <w:jc w:val="both"/>
              <w:rPr>
                <w:sz w:val="24"/>
              </w:rPr>
            </w:pPr>
            <w:r>
              <w:rPr>
                <w:spacing w:val="-4"/>
                <w:sz w:val="24"/>
              </w:rPr>
              <w:t>（八）违反第二十一条规定，未履行卫生责任</w:t>
            </w:r>
            <w:r>
              <w:rPr>
                <w:spacing w:val="-6"/>
                <w:sz w:val="24"/>
              </w:rPr>
              <w:t xml:space="preserve">区清扫保洁义务或者未按照规定清运、处理垃圾、粪便的，处以 </w:t>
            </w:r>
            <w:r>
              <w:rPr>
                <w:sz w:val="24"/>
              </w:rPr>
              <w:t>200</w:t>
            </w:r>
            <w:r>
              <w:rPr>
                <w:spacing w:val="-20"/>
                <w:sz w:val="24"/>
              </w:rPr>
              <w:t xml:space="preserve"> 元以上 </w:t>
            </w:r>
            <w:r>
              <w:rPr>
                <w:sz w:val="24"/>
              </w:rPr>
              <w:t>1000</w:t>
            </w:r>
            <w:r>
              <w:rPr>
                <w:spacing w:val="-12"/>
                <w:sz w:val="24"/>
              </w:rPr>
              <w:t xml:space="preserve"> 元以下的</w:t>
            </w:r>
          </w:p>
          <w:p>
            <w:pPr>
              <w:pStyle w:val="10"/>
              <w:spacing w:line="298" w:lineRule="exact"/>
              <w:ind w:left="106"/>
              <w:rPr>
                <w:sz w:val="24"/>
              </w:rPr>
            </w:pPr>
            <w:r>
              <w:rPr>
                <w:spacing w:val="-4"/>
                <w:sz w:val="24"/>
              </w:rPr>
              <w:t>罚款。</w:t>
            </w:r>
          </w:p>
        </w:tc>
        <w:tc>
          <w:tcPr>
            <w:tcW w:w="1340" w:type="dxa"/>
          </w:tcPr>
          <w:p>
            <w:pPr>
              <w:pStyle w:val="10"/>
              <w:rPr>
                <w:rFonts w:ascii="PMingLiU"/>
                <w:sz w:val="24"/>
              </w:rPr>
            </w:pPr>
          </w:p>
          <w:p>
            <w:pPr>
              <w:pStyle w:val="10"/>
              <w:rPr>
                <w:rFonts w:ascii="PMingLiU"/>
                <w:sz w:val="24"/>
              </w:rPr>
            </w:pPr>
          </w:p>
          <w:p>
            <w:pPr>
              <w:pStyle w:val="10"/>
              <w:spacing w:before="210" w:line="312" w:lineRule="auto"/>
              <w:ind w:left="106" w:right="98"/>
              <w:jc w:val="both"/>
              <w:rPr>
                <w:sz w:val="24"/>
              </w:rPr>
            </w:pPr>
            <w:r>
              <w:rPr>
                <w:spacing w:val="36"/>
                <w:sz w:val="24"/>
              </w:rPr>
              <w:t>城市人民政府市容环境卫生行政主管</w:t>
            </w:r>
            <w:r>
              <w:rPr>
                <w:spacing w:val="-6"/>
                <w:sz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85" w:type="dxa"/>
          </w:tcPr>
          <w:p>
            <w:pPr>
              <w:pStyle w:val="10"/>
              <w:rPr>
                <w:rFonts w:ascii="PMingLiU"/>
                <w:sz w:val="32"/>
              </w:rPr>
            </w:pPr>
          </w:p>
          <w:p>
            <w:pPr>
              <w:pStyle w:val="10"/>
              <w:spacing w:before="2"/>
              <w:rPr>
                <w:rFonts w:ascii="PMingLiU"/>
                <w:sz w:val="39"/>
              </w:rPr>
            </w:pPr>
          </w:p>
          <w:p>
            <w:pPr>
              <w:pStyle w:val="10"/>
              <w:spacing w:before="1"/>
              <w:ind w:right="221"/>
              <w:jc w:val="right"/>
              <w:rPr>
                <w:rFonts w:ascii="黑体"/>
                <w:sz w:val="32"/>
              </w:rPr>
            </w:pPr>
            <w:r>
              <w:rPr>
                <w:rFonts w:ascii="黑体"/>
                <w:spacing w:val="-5"/>
                <w:sz w:val="32"/>
              </w:rPr>
              <w:t>33</w:t>
            </w:r>
          </w:p>
        </w:tc>
        <w:tc>
          <w:tcPr>
            <w:tcW w:w="1949" w:type="dxa"/>
          </w:tcPr>
          <w:p>
            <w:pPr>
              <w:pStyle w:val="10"/>
              <w:rPr>
                <w:rFonts w:ascii="PMingLiU"/>
                <w:sz w:val="24"/>
              </w:rPr>
            </w:pPr>
          </w:p>
          <w:p>
            <w:pPr>
              <w:pStyle w:val="10"/>
              <w:rPr>
                <w:rFonts w:ascii="PMingLiU"/>
                <w:sz w:val="24"/>
              </w:rPr>
            </w:pPr>
          </w:p>
          <w:p>
            <w:pPr>
              <w:pStyle w:val="10"/>
              <w:spacing w:before="210" w:line="312" w:lineRule="auto"/>
              <w:ind w:left="106" w:right="97"/>
              <w:rPr>
                <w:sz w:val="24"/>
              </w:rPr>
            </w:pPr>
            <w:r>
              <w:rPr>
                <w:spacing w:val="-2"/>
                <w:sz w:val="24"/>
              </w:rPr>
              <w:t>城市市区内饲养</w:t>
            </w:r>
            <w:r>
              <w:rPr>
                <w:spacing w:val="-4"/>
                <w:sz w:val="24"/>
              </w:rPr>
              <w:t>家畜家禽</w:t>
            </w:r>
          </w:p>
        </w:tc>
        <w:tc>
          <w:tcPr>
            <w:tcW w:w="4917" w:type="dxa"/>
          </w:tcPr>
          <w:p>
            <w:pPr>
              <w:pStyle w:val="10"/>
              <w:spacing w:before="5"/>
              <w:rPr>
                <w:rFonts w:ascii="PMingLiU"/>
                <w:sz w:val="34"/>
              </w:rPr>
            </w:pPr>
          </w:p>
          <w:p>
            <w:pPr>
              <w:pStyle w:val="10"/>
              <w:spacing w:line="312" w:lineRule="auto"/>
              <w:ind w:left="108" w:right="-15"/>
              <w:rPr>
                <w:sz w:val="24"/>
              </w:rPr>
            </w:pPr>
            <w:r>
              <w:rPr>
                <w:spacing w:val="-8"/>
                <w:sz w:val="24"/>
              </w:rPr>
              <w:t>《安徽省城市市容和环境卫生管理条例》第二</w:t>
            </w:r>
            <w:r>
              <w:rPr>
                <w:spacing w:val="-2"/>
                <w:sz w:val="24"/>
              </w:rPr>
              <w:t>十九条第一款：城市市区内禁止饲养鸡、鸭、鹅、兔、羊、猪等家畜家禽；因教学、科研以及其他特殊需要饲养的除外。</w:t>
            </w:r>
          </w:p>
        </w:tc>
        <w:tc>
          <w:tcPr>
            <w:tcW w:w="4954" w:type="dxa"/>
          </w:tcPr>
          <w:p>
            <w:pPr>
              <w:pStyle w:val="10"/>
              <w:spacing w:before="82" w:line="312" w:lineRule="auto"/>
              <w:ind w:left="106" w:right="35"/>
              <w:jc w:val="both"/>
              <w:rPr>
                <w:sz w:val="24"/>
              </w:rPr>
            </w:pPr>
            <w:r>
              <w:rPr>
                <w:spacing w:val="-6"/>
                <w:sz w:val="24"/>
              </w:rPr>
              <w:t>《安徽省城市市容和环境卫生管理条例》第四</w:t>
            </w:r>
            <w:r>
              <w:rPr>
                <w:spacing w:val="-2"/>
                <w:sz w:val="24"/>
              </w:rPr>
              <w:t>十五条第一款：违反第二十九条第一款规定，</w:t>
            </w:r>
            <w:r>
              <w:rPr>
                <w:spacing w:val="-8"/>
                <w:sz w:val="24"/>
              </w:rPr>
              <w:t>在市区内饲养家畜家禽，影响市容和环境卫生</w:t>
            </w:r>
            <w:r>
              <w:rPr>
                <w:spacing w:val="-10"/>
                <w:sz w:val="24"/>
              </w:rPr>
              <w:t>的，由城市人民政府市容环境卫生行政主管部</w:t>
            </w:r>
            <w:r>
              <w:rPr>
                <w:spacing w:val="-2"/>
                <w:sz w:val="24"/>
              </w:rPr>
              <w:t xml:space="preserve">门责令限期处理或者予以没收，并可处以 </w:t>
            </w:r>
            <w:r>
              <w:rPr>
                <w:sz w:val="24"/>
              </w:rPr>
              <w:t>50</w:t>
            </w:r>
          </w:p>
          <w:p>
            <w:pPr>
              <w:pStyle w:val="10"/>
              <w:spacing w:line="299" w:lineRule="exact"/>
              <w:ind w:left="106"/>
              <w:jc w:val="both"/>
              <w:rPr>
                <w:sz w:val="24"/>
              </w:rPr>
            </w:pPr>
            <w:r>
              <w:rPr>
                <w:spacing w:val="-15"/>
                <w:sz w:val="24"/>
              </w:rPr>
              <w:t xml:space="preserve">元以上 </w:t>
            </w:r>
            <w:r>
              <w:rPr>
                <w:sz w:val="24"/>
              </w:rPr>
              <w:t>200</w:t>
            </w:r>
            <w:r>
              <w:rPr>
                <w:spacing w:val="-10"/>
                <w:sz w:val="24"/>
              </w:rPr>
              <w:t xml:space="preserve"> 元以下的罚款。</w:t>
            </w:r>
          </w:p>
        </w:tc>
        <w:tc>
          <w:tcPr>
            <w:tcW w:w="1340" w:type="dxa"/>
          </w:tcPr>
          <w:p>
            <w:pPr>
              <w:pStyle w:val="10"/>
              <w:spacing w:before="1"/>
              <w:rPr>
                <w:rFonts w:ascii="PMingLiU"/>
                <w:sz w:val="20"/>
              </w:rPr>
            </w:pPr>
          </w:p>
          <w:p>
            <w:pPr>
              <w:pStyle w:val="10"/>
              <w:spacing w:line="312" w:lineRule="auto"/>
              <w:ind w:left="106" w:right="98"/>
              <w:jc w:val="both"/>
              <w:rPr>
                <w:sz w:val="24"/>
              </w:rPr>
            </w:pPr>
            <w:r>
              <w:rPr>
                <w:spacing w:val="36"/>
                <w:sz w:val="24"/>
              </w:rPr>
              <w:t>城市人民政府市容环境卫生行政主管</w:t>
            </w:r>
            <w:r>
              <w:rPr>
                <w:spacing w:val="-6"/>
                <w:sz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85" w:type="dxa"/>
          </w:tcPr>
          <w:p>
            <w:pPr>
              <w:pStyle w:val="10"/>
              <w:rPr>
                <w:rFonts w:ascii="PMingLiU"/>
                <w:sz w:val="32"/>
              </w:rPr>
            </w:pPr>
          </w:p>
          <w:p>
            <w:pPr>
              <w:pStyle w:val="10"/>
              <w:rPr>
                <w:rFonts w:ascii="PMingLiU"/>
                <w:sz w:val="32"/>
              </w:rPr>
            </w:pPr>
          </w:p>
          <w:p>
            <w:pPr>
              <w:pStyle w:val="10"/>
              <w:spacing w:before="8"/>
              <w:rPr>
                <w:rFonts w:ascii="PMingLiU"/>
                <w:sz w:val="21"/>
              </w:rPr>
            </w:pPr>
          </w:p>
          <w:p>
            <w:pPr>
              <w:pStyle w:val="10"/>
              <w:ind w:right="221"/>
              <w:jc w:val="right"/>
              <w:rPr>
                <w:rFonts w:ascii="黑体"/>
                <w:sz w:val="32"/>
              </w:rPr>
            </w:pPr>
            <w:r>
              <w:rPr>
                <w:rFonts w:ascii="黑体"/>
                <w:spacing w:val="-5"/>
                <w:sz w:val="32"/>
              </w:rPr>
              <w:t>34</w:t>
            </w:r>
          </w:p>
        </w:tc>
        <w:tc>
          <w:tcPr>
            <w:tcW w:w="1949"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line="312" w:lineRule="auto"/>
              <w:ind w:left="106" w:right="97"/>
              <w:rPr>
                <w:sz w:val="24"/>
              </w:rPr>
            </w:pPr>
            <w:r>
              <w:rPr>
                <w:spacing w:val="-2"/>
                <w:sz w:val="24"/>
              </w:rPr>
              <w:t>损坏、砍伐树木花草和绿化设施</w:t>
            </w:r>
          </w:p>
        </w:tc>
        <w:tc>
          <w:tcPr>
            <w:tcW w:w="4917" w:type="dxa"/>
          </w:tcPr>
          <w:p>
            <w:pPr>
              <w:pStyle w:val="10"/>
              <w:spacing w:before="4"/>
              <w:rPr>
                <w:rFonts w:ascii="PMingLiU"/>
                <w:sz w:val="34"/>
              </w:rPr>
            </w:pPr>
          </w:p>
          <w:p>
            <w:pPr>
              <w:pStyle w:val="10"/>
              <w:spacing w:line="312" w:lineRule="auto"/>
              <w:ind w:left="108" w:right="97"/>
              <w:rPr>
                <w:sz w:val="24"/>
              </w:rPr>
            </w:pPr>
            <w:r>
              <w:rPr>
                <w:spacing w:val="-13"/>
                <w:sz w:val="24"/>
              </w:rPr>
              <w:t>《城市绿化条例》第二十条：任何单位和个人</w:t>
            </w:r>
            <w:r>
              <w:rPr>
                <w:spacing w:val="-2"/>
                <w:sz w:val="24"/>
              </w:rPr>
              <w:t>都不得损坏城市树木花草和绿化设施。</w:t>
            </w:r>
          </w:p>
          <w:p>
            <w:pPr>
              <w:pStyle w:val="10"/>
              <w:spacing w:before="3" w:line="312" w:lineRule="auto"/>
              <w:ind w:left="108" w:right="97" w:firstLine="480"/>
              <w:jc w:val="both"/>
              <w:rPr>
                <w:sz w:val="24"/>
              </w:rPr>
            </w:pPr>
            <w:r>
              <w:rPr>
                <w:spacing w:val="-13"/>
                <w:sz w:val="24"/>
              </w:rPr>
              <w:t>砍伐城市树木，必须经城市人民政府城市</w:t>
            </w:r>
            <w:r>
              <w:rPr>
                <w:spacing w:val="-11"/>
                <w:sz w:val="24"/>
              </w:rPr>
              <w:t>绿化行政主管部门批准，并按照国家有关规定</w:t>
            </w:r>
            <w:r>
              <w:rPr>
                <w:spacing w:val="-2"/>
                <w:sz w:val="24"/>
              </w:rPr>
              <w:t>补植树木或者采取其他补救措施。</w:t>
            </w:r>
          </w:p>
        </w:tc>
        <w:tc>
          <w:tcPr>
            <w:tcW w:w="4954" w:type="dxa"/>
          </w:tcPr>
          <w:p>
            <w:pPr>
              <w:pStyle w:val="10"/>
              <w:spacing w:before="82" w:line="312" w:lineRule="auto"/>
              <w:ind w:left="106" w:right="97"/>
              <w:jc w:val="both"/>
              <w:rPr>
                <w:sz w:val="24"/>
              </w:rPr>
            </w:pPr>
            <w:r>
              <w:rPr>
                <w:spacing w:val="-4"/>
                <w:sz w:val="24"/>
              </w:rPr>
              <w:t>《城市绿化条例》第二十六条：违反本条例规定，有下列行为之一的，由城市人民政府城市</w:t>
            </w:r>
            <w:r>
              <w:rPr>
                <w:sz w:val="24"/>
              </w:rPr>
              <w:t>绿化行政主管部门或者其授权的单位责令停</w:t>
            </w:r>
            <w:r>
              <w:rPr>
                <w:spacing w:val="-4"/>
                <w:sz w:val="24"/>
              </w:rPr>
              <w:t>止侵害，可以并处罚款；造成损失的，应当负</w:t>
            </w:r>
            <w:r>
              <w:rPr>
                <w:spacing w:val="-22"/>
                <w:sz w:val="24"/>
              </w:rPr>
              <w:t>赔偿责任；应当给予治安管理处罚的，依照《中</w:t>
            </w:r>
            <w:r>
              <w:rPr>
                <w:spacing w:val="-6"/>
                <w:sz w:val="24"/>
              </w:rPr>
              <w:t>华人民共和国治安管理处罚法》的有关规定处</w:t>
            </w:r>
          </w:p>
          <w:p>
            <w:pPr>
              <w:pStyle w:val="10"/>
              <w:spacing w:before="1" w:line="296" w:lineRule="exact"/>
              <w:ind w:left="106"/>
              <w:rPr>
                <w:sz w:val="24"/>
              </w:rPr>
            </w:pPr>
            <w:r>
              <w:rPr>
                <w:spacing w:val="-1"/>
                <w:sz w:val="24"/>
              </w:rPr>
              <w:t>罚；构成犯罪的，依法追究刑事责任：</w:t>
            </w:r>
          </w:p>
        </w:tc>
        <w:tc>
          <w:tcPr>
            <w:tcW w:w="1340" w:type="dxa"/>
          </w:tcPr>
          <w:p>
            <w:pPr>
              <w:pStyle w:val="10"/>
              <w:spacing w:before="4"/>
              <w:rPr>
                <w:rFonts w:ascii="PMingLiU"/>
                <w:sz w:val="34"/>
              </w:rPr>
            </w:pPr>
          </w:p>
          <w:p>
            <w:pPr>
              <w:pStyle w:val="10"/>
              <w:spacing w:line="312" w:lineRule="auto"/>
              <w:ind w:left="106" w:right="98"/>
              <w:jc w:val="both"/>
              <w:rPr>
                <w:sz w:val="24"/>
              </w:rPr>
            </w:pPr>
            <w:r>
              <w:rPr>
                <w:spacing w:val="36"/>
                <w:sz w:val="24"/>
              </w:rPr>
              <w:t>市县城市绿化行政主管部门或者其授</w:t>
            </w:r>
            <w:r>
              <w:rPr>
                <w:spacing w:val="-4"/>
                <w:sz w:val="24"/>
              </w:rPr>
              <w:t>权的单位</w:t>
            </w:r>
          </w:p>
        </w:tc>
      </w:tr>
    </w:tbl>
    <w:p>
      <w:pPr>
        <w:spacing w:after="0" w:line="312" w:lineRule="auto"/>
        <w:jc w:val="both"/>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949"/>
        <w:gridCol w:w="4917"/>
        <w:gridCol w:w="495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5" w:type="dxa"/>
          </w:tcPr>
          <w:p>
            <w:pPr>
              <w:pStyle w:val="10"/>
              <w:rPr>
                <w:rFonts w:ascii="Times New Roman"/>
                <w:sz w:val="24"/>
              </w:rPr>
            </w:pPr>
          </w:p>
        </w:tc>
        <w:tc>
          <w:tcPr>
            <w:tcW w:w="1949" w:type="dxa"/>
          </w:tcPr>
          <w:p>
            <w:pPr>
              <w:pStyle w:val="10"/>
              <w:rPr>
                <w:rFonts w:ascii="Times New Roman"/>
                <w:sz w:val="24"/>
              </w:rPr>
            </w:pPr>
          </w:p>
        </w:tc>
        <w:tc>
          <w:tcPr>
            <w:tcW w:w="4917" w:type="dxa"/>
          </w:tcPr>
          <w:p>
            <w:pPr>
              <w:pStyle w:val="10"/>
              <w:rPr>
                <w:rFonts w:ascii="Times New Roman"/>
                <w:sz w:val="24"/>
              </w:rPr>
            </w:pPr>
          </w:p>
        </w:tc>
        <w:tc>
          <w:tcPr>
            <w:tcW w:w="4954" w:type="dxa"/>
          </w:tcPr>
          <w:p>
            <w:pPr>
              <w:pStyle w:val="10"/>
              <w:spacing w:before="80" w:line="312" w:lineRule="auto"/>
              <w:ind w:left="106" w:right="1951"/>
              <w:rPr>
                <w:sz w:val="24"/>
              </w:rPr>
            </w:pPr>
            <w:r>
              <w:rPr>
                <w:spacing w:val="-2"/>
                <w:sz w:val="24"/>
              </w:rPr>
              <w:t xml:space="preserve">(一)损坏城市树木花草的； </w:t>
            </w:r>
            <w:r>
              <w:rPr>
                <w:spacing w:val="-1"/>
                <w:sz w:val="24"/>
              </w:rPr>
              <w:t>(二)擅自砍伐城市树木的；</w:t>
            </w:r>
          </w:p>
          <w:p>
            <w:pPr>
              <w:pStyle w:val="10"/>
              <w:spacing w:before="2" w:line="312" w:lineRule="auto"/>
              <w:ind w:left="106" w:right="97"/>
              <w:rPr>
                <w:sz w:val="24"/>
              </w:rPr>
            </w:pPr>
            <w:r>
              <w:rPr>
                <w:spacing w:val="-10"/>
                <w:sz w:val="24"/>
              </w:rPr>
              <w:t>(三)砍伐、擅自迁移古树名木或者因养护不善</w:t>
            </w:r>
            <w:r>
              <w:rPr>
                <w:spacing w:val="-2"/>
                <w:sz w:val="24"/>
              </w:rPr>
              <w:t>致使古树名木受到损伤或者死亡的；</w:t>
            </w:r>
          </w:p>
          <w:p>
            <w:pPr>
              <w:pStyle w:val="10"/>
              <w:spacing w:line="299" w:lineRule="exact"/>
              <w:ind w:left="106"/>
              <w:rPr>
                <w:sz w:val="24"/>
              </w:rPr>
            </w:pPr>
            <w:r>
              <w:rPr>
                <w:spacing w:val="-1"/>
                <w:sz w:val="24"/>
              </w:rPr>
              <w:t>(四)损坏城市绿化设施的。</w:t>
            </w:r>
          </w:p>
        </w:tc>
        <w:tc>
          <w:tcPr>
            <w:tcW w:w="1340"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85" w:type="dxa"/>
          </w:tcPr>
          <w:p>
            <w:pPr>
              <w:pStyle w:val="10"/>
              <w:rPr>
                <w:rFonts w:ascii="PMingLiU"/>
                <w:sz w:val="32"/>
              </w:rPr>
            </w:pPr>
          </w:p>
          <w:p>
            <w:pPr>
              <w:pStyle w:val="10"/>
              <w:spacing w:before="9"/>
              <w:rPr>
                <w:rFonts w:ascii="PMingLiU"/>
                <w:sz w:val="39"/>
              </w:rPr>
            </w:pPr>
          </w:p>
          <w:p>
            <w:pPr>
              <w:pStyle w:val="10"/>
              <w:ind w:right="221"/>
              <w:jc w:val="right"/>
              <w:rPr>
                <w:rFonts w:ascii="黑体"/>
                <w:sz w:val="32"/>
              </w:rPr>
            </w:pPr>
            <w:r>
              <w:rPr>
                <w:rFonts w:ascii="黑体"/>
                <w:spacing w:val="-5"/>
                <w:sz w:val="32"/>
              </w:rPr>
              <w:t>35</w:t>
            </w:r>
          </w:p>
        </w:tc>
        <w:tc>
          <w:tcPr>
            <w:tcW w:w="1949" w:type="dxa"/>
          </w:tcPr>
          <w:p>
            <w:pPr>
              <w:pStyle w:val="10"/>
              <w:rPr>
                <w:rFonts w:ascii="PMingLiU"/>
                <w:sz w:val="24"/>
              </w:rPr>
            </w:pPr>
          </w:p>
          <w:p>
            <w:pPr>
              <w:pStyle w:val="10"/>
              <w:spacing w:before="10"/>
              <w:rPr>
                <w:rFonts w:ascii="PMingLiU"/>
                <w:sz w:val="24"/>
              </w:rPr>
            </w:pPr>
          </w:p>
          <w:p>
            <w:pPr>
              <w:pStyle w:val="10"/>
              <w:spacing w:line="312" w:lineRule="auto"/>
              <w:ind w:left="106" w:right="97"/>
              <w:jc w:val="both"/>
              <w:rPr>
                <w:sz w:val="24"/>
              </w:rPr>
            </w:pPr>
            <w:r>
              <w:rPr>
                <w:spacing w:val="-2"/>
                <w:sz w:val="24"/>
              </w:rPr>
              <w:t>随意倾倒、抛撒或者堆放建筑垃</w:t>
            </w:r>
            <w:r>
              <w:rPr>
                <w:spacing w:val="-10"/>
                <w:sz w:val="24"/>
              </w:rPr>
              <w:t>圾</w:t>
            </w:r>
          </w:p>
        </w:tc>
        <w:tc>
          <w:tcPr>
            <w:tcW w:w="4917" w:type="dxa"/>
          </w:tcPr>
          <w:p>
            <w:pPr>
              <w:pStyle w:val="10"/>
              <w:rPr>
                <w:rFonts w:ascii="PMingLiU"/>
                <w:sz w:val="24"/>
              </w:rPr>
            </w:pPr>
          </w:p>
          <w:p>
            <w:pPr>
              <w:pStyle w:val="10"/>
              <w:spacing w:before="10"/>
              <w:rPr>
                <w:rFonts w:ascii="PMingLiU"/>
                <w:sz w:val="24"/>
              </w:rPr>
            </w:pPr>
          </w:p>
          <w:p>
            <w:pPr>
              <w:pStyle w:val="10"/>
              <w:spacing w:line="312" w:lineRule="auto"/>
              <w:ind w:left="108" w:right="97"/>
              <w:jc w:val="both"/>
              <w:rPr>
                <w:sz w:val="24"/>
              </w:rPr>
            </w:pPr>
            <w:r>
              <w:rPr>
                <w:spacing w:val="-10"/>
                <w:sz w:val="24"/>
              </w:rPr>
              <w:t>《城市建筑垃圾管理规定》第十五条：任何单</w:t>
            </w:r>
            <w:r>
              <w:rPr>
                <w:spacing w:val="-11"/>
                <w:sz w:val="24"/>
              </w:rPr>
              <w:t>位和个人不得随意倾倒、抛撒或者堆放建筑垃</w:t>
            </w:r>
            <w:r>
              <w:rPr>
                <w:spacing w:val="-6"/>
                <w:sz w:val="24"/>
              </w:rPr>
              <w:t>圾。</w:t>
            </w:r>
          </w:p>
        </w:tc>
        <w:tc>
          <w:tcPr>
            <w:tcW w:w="4954" w:type="dxa"/>
          </w:tcPr>
          <w:p>
            <w:pPr>
              <w:pStyle w:val="10"/>
              <w:spacing w:before="81" w:line="312" w:lineRule="auto"/>
              <w:ind w:left="106" w:right="97"/>
              <w:jc w:val="both"/>
              <w:rPr>
                <w:sz w:val="24"/>
              </w:rPr>
            </w:pPr>
            <w:r>
              <w:rPr>
                <w:spacing w:val="-4"/>
                <w:sz w:val="24"/>
              </w:rPr>
              <w:t>《城市建筑垃圾管理规定》第二十六条：任何</w:t>
            </w:r>
            <w:r>
              <w:rPr>
                <w:spacing w:val="-9"/>
                <w:sz w:val="24"/>
              </w:rPr>
              <w:t>单位和个人随意倾倒、抛撒或者堆放建筑垃圾</w:t>
            </w:r>
            <w:r>
              <w:rPr>
                <w:spacing w:val="-10"/>
                <w:sz w:val="24"/>
              </w:rPr>
              <w:t>的，由城市人民政府市容环境卫生主管部门责</w:t>
            </w:r>
            <w:r>
              <w:rPr>
                <w:spacing w:val="-3"/>
                <w:sz w:val="24"/>
              </w:rPr>
              <w:t xml:space="preserve">令限期改正，给予警告，并对单位处 </w:t>
            </w:r>
            <w:r>
              <w:rPr>
                <w:spacing w:val="-2"/>
                <w:sz w:val="24"/>
              </w:rPr>
              <w:t>5000</w:t>
            </w:r>
            <w:r>
              <w:rPr>
                <w:spacing w:val="-11"/>
                <w:sz w:val="24"/>
              </w:rPr>
              <w:t xml:space="preserve"> 元</w:t>
            </w:r>
          </w:p>
          <w:p>
            <w:pPr>
              <w:pStyle w:val="10"/>
              <w:spacing w:before="2"/>
              <w:ind w:left="106"/>
              <w:rPr>
                <w:sz w:val="24"/>
              </w:rPr>
            </w:pPr>
            <w:r>
              <w:rPr>
                <w:sz w:val="24"/>
              </w:rPr>
              <w:t>以上 5</w:t>
            </w:r>
            <w:r>
              <w:rPr>
                <w:spacing w:val="-8"/>
                <w:sz w:val="24"/>
              </w:rPr>
              <w:t xml:space="preserve"> 万元以下罚款，对个人处 </w:t>
            </w:r>
            <w:r>
              <w:rPr>
                <w:sz w:val="24"/>
              </w:rPr>
              <w:t>200</w:t>
            </w:r>
            <w:r>
              <w:rPr>
                <w:spacing w:val="-3"/>
                <w:sz w:val="24"/>
              </w:rPr>
              <w:t xml:space="preserve"> 元以下</w:t>
            </w:r>
          </w:p>
          <w:p>
            <w:pPr>
              <w:pStyle w:val="10"/>
              <w:spacing w:before="91" w:line="299" w:lineRule="exact"/>
              <w:ind w:left="106"/>
              <w:rPr>
                <w:sz w:val="24"/>
              </w:rPr>
            </w:pPr>
            <w:r>
              <w:rPr>
                <w:spacing w:val="-4"/>
                <w:sz w:val="24"/>
              </w:rPr>
              <w:t>罚款。</w:t>
            </w:r>
          </w:p>
        </w:tc>
        <w:tc>
          <w:tcPr>
            <w:tcW w:w="1340" w:type="dxa"/>
          </w:tcPr>
          <w:p>
            <w:pPr>
              <w:pStyle w:val="10"/>
              <w:spacing w:before="6"/>
              <w:rPr>
                <w:rFonts w:ascii="PMingLiU"/>
                <w:sz w:val="34"/>
              </w:rPr>
            </w:pPr>
          </w:p>
          <w:p>
            <w:pPr>
              <w:pStyle w:val="10"/>
              <w:spacing w:line="312" w:lineRule="auto"/>
              <w:ind w:left="106" w:right="98"/>
              <w:jc w:val="both"/>
              <w:rPr>
                <w:sz w:val="24"/>
              </w:rPr>
            </w:pPr>
            <w:r>
              <w:rPr>
                <w:spacing w:val="36"/>
                <w:sz w:val="24"/>
              </w:rPr>
              <w:t>城市人民政府市容环境卫生</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85" w:type="dxa"/>
          </w:tcPr>
          <w:p>
            <w:pPr>
              <w:pStyle w:val="10"/>
              <w:rPr>
                <w:rFonts w:ascii="PMingLiU"/>
                <w:sz w:val="32"/>
              </w:rPr>
            </w:pPr>
          </w:p>
          <w:p>
            <w:pPr>
              <w:pStyle w:val="10"/>
              <w:spacing w:before="8"/>
              <w:rPr>
                <w:rFonts w:ascii="PMingLiU"/>
                <w:sz w:val="39"/>
              </w:rPr>
            </w:pPr>
          </w:p>
          <w:p>
            <w:pPr>
              <w:pStyle w:val="10"/>
              <w:spacing w:before="1"/>
              <w:ind w:right="221"/>
              <w:jc w:val="right"/>
              <w:rPr>
                <w:rFonts w:ascii="黑体"/>
                <w:sz w:val="32"/>
              </w:rPr>
            </w:pPr>
            <w:r>
              <w:rPr>
                <w:rFonts w:ascii="黑体"/>
                <w:spacing w:val="-5"/>
                <w:sz w:val="32"/>
              </w:rPr>
              <w:t>36</w:t>
            </w:r>
          </w:p>
        </w:tc>
        <w:tc>
          <w:tcPr>
            <w:tcW w:w="1949" w:type="dxa"/>
          </w:tcPr>
          <w:p>
            <w:pPr>
              <w:pStyle w:val="10"/>
              <w:rPr>
                <w:rFonts w:ascii="PMingLiU"/>
                <w:sz w:val="24"/>
              </w:rPr>
            </w:pPr>
          </w:p>
          <w:p>
            <w:pPr>
              <w:pStyle w:val="10"/>
              <w:rPr>
                <w:rFonts w:ascii="PMingLiU"/>
                <w:sz w:val="24"/>
              </w:rPr>
            </w:pPr>
          </w:p>
          <w:p>
            <w:pPr>
              <w:pStyle w:val="10"/>
              <w:spacing w:before="209" w:line="312" w:lineRule="auto"/>
              <w:ind w:left="106" w:right="97"/>
              <w:rPr>
                <w:sz w:val="24"/>
              </w:rPr>
            </w:pPr>
            <w:r>
              <w:rPr>
                <w:spacing w:val="-2"/>
                <w:sz w:val="24"/>
              </w:rPr>
              <w:t>业主大会、业主委员会决定错误</w:t>
            </w:r>
          </w:p>
        </w:tc>
        <w:tc>
          <w:tcPr>
            <w:tcW w:w="4917" w:type="dxa"/>
          </w:tcPr>
          <w:p>
            <w:pPr>
              <w:pStyle w:val="10"/>
              <w:rPr>
                <w:rFonts w:ascii="Times New Roman"/>
                <w:sz w:val="24"/>
              </w:rPr>
            </w:pPr>
          </w:p>
        </w:tc>
        <w:tc>
          <w:tcPr>
            <w:tcW w:w="4954" w:type="dxa"/>
          </w:tcPr>
          <w:p>
            <w:pPr>
              <w:pStyle w:val="10"/>
              <w:spacing w:before="81" w:line="312" w:lineRule="auto"/>
              <w:ind w:left="106" w:right="97"/>
              <w:jc w:val="both"/>
              <w:rPr>
                <w:sz w:val="24"/>
              </w:rPr>
            </w:pPr>
            <w:r>
              <w:rPr>
                <w:spacing w:val="-8"/>
                <w:sz w:val="24"/>
              </w:rPr>
              <w:t>《安徽省物业管理条例》第三十六条第二款规</w:t>
            </w:r>
            <w:r>
              <w:rPr>
                <w:spacing w:val="-4"/>
                <w:sz w:val="24"/>
              </w:rPr>
              <w:t>定：业主大会、业主委员会做出的决定违反法律、法规的，县级以上人民政府物业管理行政主管部门或者街道办事处、乡镇人民政府，应</w:t>
            </w:r>
            <w:r>
              <w:rPr>
                <w:spacing w:val="-6"/>
                <w:sz w:val="24"/>
              </w:rPr>
              <w:t>当责令限期改正或者予以撤销，并通告全体业</w:t>
            </w:r>
          </w:p>
          <w:p>
            <w:pPr>
              <w:pStyle w:val="10"/>
              <w:spacing w:line="300" w:lineRule="exact"/>
              <w:ind w:left="106"/>
              <w:rPr>
                <w:sz w:val="24"/>
              </w:rPr>
            </w:pPr>
            <w:r>
              <w:rPr>
                <w:spacing w:val="-5"/>
                <w:sz w:val="24"/>
              </w:rPr>
              <w:t>主。</w:t>
            </w:r>
          </w:p>
        </w:tc>
        <w:tc>
          <w:tcPr>
            <w:tcW w:w="1340" w:type="dxa"/>
          </w:tcPr>
          <w:p>
            <w:pPr>
              <w:pStyle w:val="10"/>
              <w:spacing w:before="81" w:line="312" w:lineRule="auto"/>
              <w:ind w:left="106" w:right="98"/>
              <w:jc w:val="both"/>
              <w:rPr>
                <w:sz w:val="24"/>
              </w:rPr>
            </w:pPr>
            <w:r>
              <w:rPr>
                <w:spacing w:val="36"/>
                <w:sz w:val="24"/>
              </w:rPr>
              <w:t>县级以上人民政府物业管理行政主管</w:t>
            </w:r>
            <w:r>
              <w:rPr>
                <w:spacing w:val="6"/>
                <w:sz w:val="24"/>
              </w:rPr>
              <w:t>部门， 街</w:t>
            </w:r>
          </w:p>
          <w:p>
            <w:pPr>
              <w:pStyle w:val="10"/>
              <w:spacing w:line="300" w:lineRule="exact"/>
              <w:ind w:left="106"/>
              <w:rPr>
                <w:sz w:val="24"/>
              </w:rPr>
            </w:pPr>
            <w:r>
              <w:rPr>
                <w:spacing w:val="-3"/>
                <w:sz w:val="24"/>
              </w:rPr>
              <w:t>道、乡镇</w:t>
            </w:r>
          </w:p>
        </w:tc>
      </w:tr>
    </w:tbl>
    <w:p>
      <w:pPr>
        <w:spacing w:after="0" w:line="300" w:lineRule="exact"/>
        <w:rPr>
          <w:sz w:val="24"/>
        </w:rPr>
        <w:sectPr>
          <w:pgSz w:w="16840" w:h="11910" w:orient="landscape"/>
          <w:pgMar w:top="1340" w:right="1220" w:bottom="1160" w:left="1100" w:header="0" w:footer="972" w:gutter="0"/>
          <w:cols w:space="720" w:num="1"/>
        </w:sectPr>
      </w:pPr>
    </w:p>
    <w:p>
      <w:pPr>
        <w:pStyle w:val="3"/>
        <w:spacing w:before="8"/>
        <w:rPr>
          <w:rFonts w:ascii="PMingLiU"/>
          <w:sz w:val="14"/>
        </w:rPr>
      </w:pPr>
    </w:p>
    <w:tbl>
      <w:tblPr>
        <w:tblStyle w:val="6"/>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963"/>
        <w:gridCol w:w="3520"/>
        <w:gridCol w:w="5054"/>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74" w:type="dxa"/>
            <w:gridSpan w:val="5"/>
          </w:tcPr>
          <w:p>
            <w:pPr>
              <w:pStyle w:val="10"/>
              <w:spacing w:before="40" w:line="340" w:lineRule="exact"/>
              <w:ind w:left="5683" w:right="5671"/>
              <w:jc w:val="center"/>
              <w:rPr>
                <w:rFonts w:ascii="黑体" w:eastAsia="黑体"/>
                <w:sz w:val="28"/>
              </w:rPr>
            </w:pPr>
            <w:r>
              <w:rPr>
                <w:rFonts w:ascii="黑体" w:eastAsia="黑体"/>
                <w:spacing w:val="-3"/>
                <w:sz w:val="28"/>
              </w:rPr>
              <w:t>自然资源部门执法事项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04" w:type="dxa"/>
          </w:tcPr>
          <w:p>
            <w:pPr>
              <w:pStyle w:val="10"/>
              <w:spacing w:before="132"/>
              <w:ind w:left="109" w:right="97"/>
              <w:jc w:val="center"/>
              <w:rPr>
                <w:rFonts w:ascii="黑体" w:eastAsia="黑体"/>
                <w:sz w:val="28"/>
              </w:rPr>
            </w:pPr>
            <w:r>
              <w:rPr>
                <w:rFonts w:ascii="黑体" w:eastAsia="黑体"/>
                <w:spacing w:val="-6"/>
                <w:sz w:val="28"/>
              </w:rPr>
              <w:t>序号</w:t>
            </w:r>
          </w:p>
        </w:tc>
        <w:tc>
          <w:tcPr>
            <w:tcW w:w="2963" w:type="dxa"/>
          </w:tcPr>
          <w:p>
            <w:pPr>
              <w:pStyle w:val="10"/>
              <w:spacing w:before="132"/>
              <w:ind w:left="640"/>
              <w:rPr>
                <w:rFonts w:ascii="黑体" w:eastAsia="黑体"/>
                <w:sz w:val="28"/>
              </w:rPr>
            </w:pPr>
            <w:r>
              <w:rPr>
                <w:rFonts w:ascii="黑体" w:eastAsia="黑体"/>
                <w:spacing w:val="-4"/>
                <w:sz w:val="28"/>
              </w:rPr>
              <w:t>信访投诉事由</w:t>
            </w:r>
          </w:p>
        </w:tc>
        <w:tc>
          <w:tcPr>
            <w:tcW w:w="3520" w:type="dxa"/>
          </w:tcPr>
          <w:p>
            <w:pPr>
              <w:pStyle w:val="10"/>
              <w:spacing w:before="132"/>
              <w:ind w:left="1189" w:right="1177"/>
              <w:jc w:val="center"/>
              <w:rPr>
                <w:rFonts w:ascii="黑体" w:eastAsia="黑体"/>
                <w:sz w:val="28"/>
              </w:rPr>
            </w:pPr>
            <w:r>
              <w:rPr>
                <w:rFonts w:ascii="黑体" w:eastAsia="黑体"/>
                <w:spacing w:val="-4"/>
                <w:sz w:val="28"/>
              </w:rPr>
              <w:t>相关规定</w:t>
            </w:r>
          </w:p>
        </w:tc>
        <w:tc>
          <w:tcPr>
            <w:tcW w:w="5054" w:type="dxa"/>
          </w:tcPr>
          <w:p>
            <w:pPr>
              <w:pStyle w:val="10"/>
              <w:spacing w:before="132"/>
              <w:ind w:left="1955" w:right="1944"/>
              <w:jc w:val="center"/>
              <w:rPr>
                <w:rFonts w:ascii="黑体" w:eastAsia="黑体"/>
                <w:sz w:val="28"/>
              </w:rPr>
            </w:pPr>
            <w:r>
              <w:rPr>
                <w:rFonts w:ascii="黑体" w:eastAsia="黑体"/>
                <w:spacing w:val="-4"/>
                <w:sz w:val="28"/>
              </w:rPr>
              <w:t>处理依据</w:t>
            </w:r>
          </w:p>
        </w:tc>
        <w:tc>
          <w:tcPr>
            <w:tcW w:w="1833" w:type="dxa"/>
          </w:tcPr>
          <w:p>
            <w:pPr>
              <w:pStyle w:val="10"/>
              <w:spacing w:before="132"/>
              <w:ind w:left="354"/>
              <w:rPr>
                <w:rFonts w:ascii="黑体" w:eastAsia="黑体"/>
                <w:sz w:val="28"/>
              </w:rPr>
            </w:pPr>
            <w:r>
              <w:rPr>
                <w:rFonts w:ascii="黑体" w:eastAsia="黑体"/>
                <w:spacing w:val="-4"/>
                <w:sz w:val="28"/>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04" w:type="dxa"/>
            <w:tcBorders>
              <w:bottom w:val="nil"/>
            </w:tcBorders>
          </w:tcPr>
          <w:p>
            <w:pPr>
              <w:pStyle w:val="10"/>
              <w:rPr>
                <w:rFonts w:ascii="Times New Roman"/>
                <w:sz w:val="24"/>
              </w:rPr>
            </w:pPr>
          </w:p>
        </w:tc>
        <w:tc>
          <w:tcPr>
            <w:tcW w:w="2963" w:type="dxa"/>
            <w:tcBorders>
              <w:bottom w:val="nil"/>
            </w:tcBorders>
          </w:tcPr>
          <w:p>
            <w:pPr>
              <w:pStyle w:val="10"/>
              <w:rPr>
                <w:rFonts w:ascii="Times New Roman"/>
                <w:sz w:val="24"/>
              </w:rPr>
            </w:pPr>
          </w:p>
        </w:tc>
        <w:tc>
          <w:tcPr>
            <w:tcW w:w="3520" w:type="dxa"/>
            <w:vMerge w:val="restart"/>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2"/>
              <w:rPr>
                <w:rFonts w:ascii="PMingLiU"/>
                <w:sz w:val="28"/>
              </w:rPr>
            </w:pPr>
          </w:p>
          <w:p>
            <w:pPr>
              <w:pStyle w:val="10"/>
              <w:spacing w:line="312" w:lineRule="auto"/>
              <w:ind w:left="108" w:right="96"/>
              <w:jc w:val="both"/>
              <w:rPr>
                <w:sz w:val="24"/>
              </w:rPr>
            </w:pPr>
            <w:r>
              <w:rPr>
                <w:spacing w:val="-8"/>
                <w:sz w:val="24"/>
              </w:rPr>
              <w:t>《安徽省城乡规划条例》第三十</w:t>
            </w:r>
            <w:r>
              <w:rPr>
                <w:spacing w:val="-10"/>
                <w:sz w:val="24"/>
              </w:rPr>
              <w:t>四条：建设单位应当按照规划条</w:t>
            </w:r>
            <w:r>
              <w:rPr>
                <w:spacing w:val="-6"/>
                <w:sz w:val="24"/>
              </w:rPr>
              <w:t>件进行建设；确需变更的，应当</w:t>
            </w:r>
            <w:r>
              <w:rPr>
                <w:spacing w:val="-10"/>
                <w:sz w:val="24"/>
              </w:rPr>
              <w:t>向城市、县人民政府城乡规划主</w:t>
            </w:r>
            <w:r>
              <w:rPr>
                <w:spacing w:val="-8"/>
                <w:sz w:val="24"/>
              </w:rPr>
              <w:t>管部门提出变更申请，说明变更</w:t>
            </w:r>
            <w:r>
              <w:rPr>
                <w:spacing w:val="-2"/>
                <w:sz w:val="24"/>
              </w:rPr>
              <w:t>的内容和理由。</w:t>
            </w:r>
          </w:p>
        </w:tc>
        <w:tc>
          <w:tcPr>
            <w:tcW w:w="5054" w:type="dxa"/>
            <w:tcBorders>
              <w:bottom w:val="nil"/>
            </w:tcBorders>
          </w:tcPr>
          <w:p>
            <w:pPr>
              <w:pStyle w:val="10"/>
              <w:spacing w:before="80"/>
              <w:ind w:left="107"/>
              <w:rPr>
                <w:sz w:val="24"/>
              </w:rPr>
            </w:pPr>
            <w:r>
              <w:rPr>
                <w:spacing w:val="-1"/>
                <w:sz w:val="24"/>
              </w:rPr>
              <w:t>《安徽省城乡规划条例》第五十四条：未取得</w:t>
            </w:r>
          </w:p>
        </w:tc>
        <w:tc>
          <w:tcPr>
            <w:tcW w:w="1833" w:type="dxa"/>
            <w:tcBorders>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Pr>
                <w:sz w:val="24"/>
              </w:rPr>
            </w:pPr>
            <w:r>
              <w:rPr>
                <w:spacing w:val="-1"/>
                <w:sz w:val="24"/>
              </w:rPr>
              <w:t>建设工程规划许可证或者未按照建设工程规划</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Pr>
                <w:sz w:val="24"/>
              </w:rPr>
            </w:pPr>
            <w:r>
              <w:rPr>
                <w:spacing w:val="-1"/>
                <w:sz w:val="24"/>
              </w:rPr>
              <w:t>许可证的规定进行建设的，由县级以上人民政</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0"/>
              <w:ind w:left="107"/>
              <w:rPr>
                <w:sz w:val="24"/>
              </w:rPr>
            </w:pPr>
            <w:r>
              <w:rPr>
                <w:spacing w:val="-1"/>
                <w:sz w:val="24"/>
              </w:rPr>
              <w:t>府城乡规划主管部门责令停止建设；尚可采取</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ight="-29"/>
              <w:rPr>
                <w:sz w:val="24"/>
              </w:rPr>
            </w:pPr>
            <w:r>
              <w:rPr>
                <w:spacing w:val="-7"/>
                <w:sz w:val="24"/>
              </w:rPr>
              <w:t>改正措施消除对规划实施的影响的，限期改正，</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trPr>
        <w:tc>
          <w:tcPr>
            <w:tcW w:w="804" w:type="dxa"/>
            <w:tcBorders>
              <w:top w:val="nil"/>
              <w:bottom w:val="nil"/>
            </w:tcBorders>
          </w:tcPr>
          <w:p>
            <w:pPr>
              <w:pStyle w:val="10"/>
              <w:rPr>
                <w:rFonts w:ascii="PMingLiU"/>
                <w:sz w:val="32"/>
              </w:rPr>
            </w:pPr>
          </w:p>
          <w:p>
            <w:pPr>
              <w:pStyle w:val="10"/>
              <w:spacing w:before="4"/>
              <w:rPr>
                <w:rFonts w:ascii="PMingLiU"/>
                <w:sz w:val="36"/>
              </w:rPr>
            </w:pPr>
          </w:p>
          <w:p>
            <w:pPr>
              <w:pStyle w:val="10"/>
              <w:ind w:left="8"/>
              <w:jc w:val="center"/>
              <w:rPr>
                <w:rFonts w:ascii="黑体"/>
                <w:sz w:val="32"/>
              </w:rPr>
            </w:pPr>
            <w:r>
              <w:rPr>
                <w:rFonts w:ascii="黑体"/>
                <w:w w:val="99"/>
                <w:sz w:val="32"/>
              </w:rPr>
              <w:t>1</w:t>
            </w:r>
          </w:p>
        </w:tc>
        <w:tc>
          <w:tcPr>
            <w:tcW w:w="2963" w:type="dxa"/>
            <w:tcBorders>
              <w:top w:val="nil"/>
              <w:bottom w:val="nil"/>
            </w:tcBorders>
          </w:tcPr>
          <w:p>
            <w:pPr>
              <w:pStyle w:val="10"/>
              <w:spacing w:before="3"/>
              <w:rPr>
                <w:rFonts w:ascii="PMingLiU"/>
                <w:sz w:val="17"/>
              </w:rPr>
            </w:pPr>
          </w:p>
          <w:p>
            <w:pPr>
              <w:pStyle w:val="10"/>
              <w:spacing w:line="312" w:lineRule="auto"/>
              <w:ind w:left="107" w:right="95"/>
              <w:jc w:val="both"/>
              <w:rPr>
                <w:sz w:val="24"/>
              </w:rPr>
            </w:pPr>
            <w:r>
              <w:rPr>
                <w:spacing w:val="1"/>
                <w:sz w:val="24"/>
              </w:rPr>
              <w:t>小区内未取得建设工程规划许可证或未按建设工程规划许可证规定的内容进行建设房屋、车库等行为</w:t>
            </w:r>
            <w:r>
              <w:rPr>
                <w:spacing w:val="-10"/>
                <w:sz w:val="24"/>
              </w:rPr>
              <w:t>等</w:t>
            </w: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line="312" w:lineRule="auto"/>
              <w:ind w:left="107" w:right="96"/>
              <w:jc w:val="both"/>
              <w:rPr>
                <w:sz w:val="24"/>
              </w:rPr>
            </w:pPr>
            <w:r>
              <w:rPr>
                <w:spacing w:val="-2"/>
                <w:sz w:val="24"/>
              </w:rPr>
              <w:t>处以建设工程造价百分之五以上百分之十以下的罚款；无法采取改正措施消除影响的，限期拆除，不能拆除的，没收实物或者违法收入，</w:t>
            </w:r>
            <w:r>
              <w:rPr>
                <w:spacing w:val="-1"/>
                <w:sz w:val="24"/>
              </w:rPr>
              <w:t>可以并处建设工程造价百分之十以下的罚款。</w:t>
            </w:r>
          </w:p>
          <w:p>
            <w:pPr>
              <w:pStyle w:val="10"/>
              <w:spacing w:line="307" w:lineRule="exact"/>
              <w:ind w:left="107"/>
              <w:rPr>
                <w:sz w:val="24"/>
              </w:rPr>
            </w:pPr>
            <w:r>
              <w:rPr>
                <w:spacing w:val="-1"/>
                <w:sz w:val="24"/>
              </w:rPr>
              <w:t>《安徽省城市管理领域相对集中行政处罚权办</w:t>
            </w:r>
          </w:p>
          <w:p>
            <w:pPr>
              <w:pStyle w:val="10"/>
              <w:spacing w:before="94"/>
              <w:ind w:left="107"/>
              <w:rPr>
                <w:sz w:val="24"/>
              </w:rPr>
            </w:pPr>
            <w:r>
              <w:rPr>
                <w:spacing w:val="-1"/>
                <w:sz w:val="24"/>
              </w:rPr>
              <w:t>法》第十二条“城市综合管理行政执法部门，</w:t>
            </w:r>
          </w:p>
        </w:tc>
        <w:tc>
          <w:tcPr>
            <w:tcW w:w="1833" w:type="dxa"/>
            <w:tcBorders>
              <w:top w:val="nil"/>
              <w:bottom w:val="nil"/>
            </w:tcBorders>
          </w:tcPr>
          <w:p>
            <w:pPr>
              <w:pStyle w:val="10"/>
              <w:spacing w:before="3"/>
              <w:rPr>
                <w:rFonts w:ascii="PMingLiU"/>
                <w:sz w:val="17"/>
              </w:rPr>
            </w:pPr>
          </w:p>
          <w:p>
            <w:pPr>
              <w:pStyle w:val="10"/>
              <w:spacing w:line="312" w:lineRule="auto"/>
              <w:ind w:left="107" w:right="95"/>
              <w:jc w:val="both"/>
              <w:rPr>
                <w:sz w:val="24"/>
              </w:rPr>
            </w:pPr>
            <w:r>
              <w:rPr>
                <w:spacing w:val="26"/>
                <w:sz w:val="24"/>
              </w:rPr>
              <w:t>县级以上人民政府城乡规划</w:t>
            </w:r>
            <w:r>
              <w:rPr>
                <w:spacing w:val="-12"/>
                <w:sz w:val="24"/>
              </w:rPr>
              <w:t>主管部门，城市</w:t>
            </w:r>
            <w:r>
              <w:rPr>
                <w:spacing w:val="26"/>
                <w:sz w:val="24"/>
              </w:rPr>
              <w:t>综合管理行政</w:t>
            </w:r>
            <w:r>
              <w:rPr>
                <w:spacing w:val="-4"/>
                <w:sz w:val="24"/>
              </w:rPr>
              <w:t>执法部门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Pr>
                <w:sz w:val="24"/>
              </w:rPr>
            </w:pPr>
            <w:r>
              <w:rPr>
                <w:sz w:val="24"/>
              </w:rPr>
              <w:t>集中行使下列行政处罚权：</w:t>
            </w:r>
            <w:r>
              <w:rPr>
                <w:rFonts w:ascii="宋体" w:hAnsi="宋体" w:eastAsia="宋体"/>
                <w:sz w:val="24"/>
              </w:rPr>
              <w:t>…</w:t>
            </w:r>
            <w:r>
              <w:rPr>
                <w:sz w:val="24"/>
              </w:rPr>
              <w:t>（二）</w:t>
            </w:r>
            <w:r>
              <w:rPr>
                <w:spacing w:val="-3"/>
                <w:sz w:val="24"/>
              </w:rPr>
              <w:t>城市规划</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0"/>
              <w:ind w:left="107"/>
              <w:rPr>
                <w:sz w:val="24"/>
              </w:rPr>
            </w:pPr>
            <w:r>
              <w:rPr>
                <w:spacing w:val="-1"/>
                <w:sz w:val="24"/>
              </w:rPr>
              <w:t>管理方面法律、法规和规章规定的全部或部分</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Pr>
                <w:sz w:val="24"/>
              </w:rPr>
            </w:pPr>
            <w:r>
              <w:rPr>
                <w:spacing w:val="-1"/>
                <w:sz w:val="24"/>
              </w:rPr>
              <w:t>行政处罚权，对擅自搭建妨碍公共安全、公共</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4" w:type="dxa"/>
            <w:tcBorders>
              <w:top w:val="nil"/>
              <w:bottom w:val="nil"/>
            </w:tcBorders>
          </w:tcPr>
          <w:p>
            <w:pPr>
              <w:pStyle w:val="10"/>
              <w:rPr>
                <w:rFonts w:ascii="Times New Roman"/>
                <w:sz w:val="24"/>
              </w:rPr>
            </w:pPr>
          </w:p>
        </w:tc>
        <w:tc>
          <w:tcPr>
            <w:tcW w:w="2963" w:type="dxa"/>
            <w:tcBorders>
              <w:top w:val="nil"/>
              <w:bottom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bottom w:val="nil"/>
            </w:tcBorders>
          </w:tcPr>
          <w:p>
            <w:pPr>
              <w:pStyle w:val="10"/>
              <w:spacing w:before="41"/>
              <w:ind w:left="107"/>
              <w:rPr>
                <w:sz w:val="24"/>
              </w:rPr>
            </w:pPr>
            <w:r>
              <w:rPr>
                <w:spacing w:val="-1"/>
                <w:sz w:val="24"/>
              </w:rPr>
              <w:t>卫生、城市交通的建筑物、构筑五等违法行为</w:t>
            </w:r>
          </w:p>
        </w:tc>
        <w:tc>
          <w:tcPr>
            <w:tcW w:w="1833"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04" w:type="dxa"/>
            <w:tcBorders>
              <w:top w:val="nil"/>
            </w:tcBorders>
          </w:tcPr>
          <w:p>
            <w:pPr>
              <w:pStyle w:val="10"/>
              <w:rPr>
                <w:rFonts w:ascii="Times New Roman"/>
                <w:sz w:val="24"/>
              </w:rPr>
            </w:pPr>
          </w:p>
        </w:tc>
        <w:tc>
          <w:tcPr>
            <w:tcW w:w="2963" w:type="dxa"/>
            <w:tcBorders>
              <w:top w:val="nil"/>
            </w:tcBorders>
          </w:tcPr>
          <w:p>
            <w:pPr>
              <w:pStyle w:val="10"/>
              <w:rPr>
                <w:rFonts w:ascii="Times New Roman"/>
                <w:sz w:val="24"/>
              </w:rPr>
            </w:pPr>
          </w:p>
        </w:tc>
        <w:tc>
          <w:tcPr>
            <w:tcW w:w="3520" w:type="dxa"/>
            <w:vMerge w:val="continue"/>
            <w:tcBorders>
              <w:top w:val="nil"/>
            </w:tcBorders>
          </w:tcPr>
          <w:p>
            <w:pPr>
              <w:rPr>
                <w:sz w:val="2"/>
                <w:szCs w:val="2"/>
              </w:rPr>
            </w:pPr>
          </w:p>
        </w:tc>
        <w:tc>
          <w:tcPr>
            <w:tcW w:w="5054" w:type="dxa"/>
            <w:tcBorders>
              <w:top w:val="nil"/>
            </w:tcBorders>
          </w:tcPr>
          <w:p>
            <w:pPr>
              <w:pStyle w:val="10"/>
              <w:spacing w:before="40" w:line="300" w:lineRule="exact"/>
              <w:ind w:left="107"/>
              <w:rPr>
                <w:sz w:val="24"/>
              </w:rPr>
            </w:pPr>
            <w:r>
              <w:rPr>
                <w:spacing w:val="-3"/>
                <w:sz w:val="24"/>
              </w:rPr>
              <w:t>实施行政处罚…”。</w:t>
            </w:r>
          </w:p>
        </w:tc>
        <w:tc>
          <w:tcPr>
            <w:tcW w:w="1833" w:type="dxa"/>
            <w:tcBorders>
              <w:top w:val="nil"/>
            </w:tcBorders>
          </w:tcPr>
          <w:p>
            <w:pPr>
              <w:pStyle w:val="10"/>
              <w:rPr>
                <w:rFonts w:ascii="Times New Roman"/>
                <w:sz w:val="24"/>
              </w:rPr>
            </w:pPr>
          </w:p>
        </w:tc>
      </w:tr>
    </w:tbl>
    <w:p>
      <w:pPr>
        <w:spacing w:after="0"/>
        <w:rPr>
          <w:rFonts w:ascii="Times New Roman"/>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399"/>
        <w:gridCol w:w="3975"/>
        <w:gridCol w:w="5258"/>
        <w:gridCol w:w="1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4174" w:type="dxa"/>
            <w:gridSpan w:val="5"/>
          </w:tcPr>
          <w:p>
            <w:pPr>
              <w:pStyle w:val="10"/>
              <w:spacing w:before="133"/>
              <w:ind w:left="5681" w:right="5662"/>
              <w:jc w:val="center"/>
              <w:rPr>
                <w:rFonts w:ascii="黑体" w:eastAsia="黑体"/>
                <w:sz w:val="28"/>
              </w:rPr>
            </w:pPr>
            <w:bookmarkStart w:id="5" w:name="市场监管部门执法事项"/>
            <w:bookmarkEnd w:id="5"/>
            <w:bookmarkStart w:id="6" w:name="_bookmark1"/>
            <w:bookmarkEnd w:id="6"/>
            <w:r>
              <w:rPr>
                <w:rFonts w:ascii="黑体" w:eastAsia="黑体"/>
                <w:spacing w:val="-3"/>
                <w:sz w:val="28"/>
              </w:rPr>
              <w:t>市场监管部门执法事项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13" w:type="dxa"/>
          </w:tcPr>
          <w:p>
            <w:pPr>
              <w:pStyle w:val="10"/>
              <w:spacing w:before="133"/>
              <w:ind w:left="162" w:right="142"/>
              <w:jc w:val="center"/>
              <w:rPr>
                <w:rFonts w:ascii="黑体" w:eastAsia="黑体"/>
                <w:sz w:val="28"/>
              </w:rPr>
            </w:pPr>
            <w:r>
              <w:rPr>
                <w:rFonts w:ascii="黑体" w:eastAsia="黑体"/>
                <w:spacing w:val="-6"/>
                <w:sz w:val="28"/>
              </w:rPr>
              <w:t>序号</w:t>
            </w:r>
          </w:p>
        </w:tc>
        <w:tc>
          <w:tcPr>
            <w:tcW w:w="2399" w:type="dxa"/>
          </w:tcPr>
          <w:p>
            <w:pPr>
              <w:pStyle w:val="10"/>
              <w:spacing w:before="133"/>
              <w:ind w:right="339"/>
              <w:jc w:val="right"/>
              <w:rPr>
                <w:rFonts w:ascii="黑体" w:eastAsia="黑体"/>
                <w:sz w:val="28"/>
              </w:rPr>
            </w:pPr>
            <w:r>
              <w:rPr>
                <w:rFonts w:ascii="黑体" w:eastAsia="黑体"/>
                <w:spacing w:val="-4"/>
                <w:sz w:val="28"/>
              </w:rPr>
              <w:t>信访投诉事由</w:t>
            </w:r>
          </w:p>
        </w:tc>
        <w:tc>
          <w:tcPr>
            <w:tcW w:w="3975" w:type="dxa"/>
          </w:tcPr>
          <w:p>
            <w:pPr>
              <w:pStyle w:val="10"/>
              <w:spacing w:before="133"/>
              <w:ind w:left="1414" w:right="1396"/>
              <w:jc w:val="center"/>
              <w:rPr>
                <w:rFonts w:ascii="黑体" w:eastAsia="黑体"/>
                <w:sz w:val="28"/>
              </w:rPr>
            </w:pPr>
            <w:r>
              <w:rPr>
                <w:rFonts w:ascii="黑体" w:eastAsia="黑体"/>
                <w:spacing w:val="-4"/>
                <w:sz w:val="28"/>
              </w:rPr>
              <w:t>相关规定</w:t>
            </w:r>
          </w:p>
        </w:tc>
        <w:tc>
          <w:tcPr>
            <w:tcW w:w="5258" w:type="dxa"/>
          </w:tcPr>
          <w:p>
            <w:pPr>
              <w:pStyle w:val="10"/>
              <w:spacing w:before="133"/>
              <w:ind w:left="2057" w:right="2037"/>
              <w:jc w:val="center"/>
              <w:rPr>
                <w:rFonts w:ascii="黑体" w:eastAsia="黑体"/>
                <w:sz w:val="28"/>
              </w:rPr>
            </w:pPr>
            <w:r>
              <w:rPr>
                <w:rFonts w:ascii="黑体" w:eastAsia="黑体"/>
                <w:spacing w:val="-4"/>
                <w:sz w:val="28"/>
              </w:rPr>
              <w:t>处理依据</w:t>
            </w:r>
          </w:p>
        </w:tc>
        <w:tc>
          <w:tcPr>
            <w:tcW w:w="1629" w:type="dxa"/>
          </w:tcPr>
          <w:p>
            <w:pPr>
              <w:pStyle w:val="10"/>
              <w:spacing w:before="133"/>
              <w:ind w:left="252"/>
              <w:rPr>
                <w:rFonts w:ascii="黑体" w:eastAsia="黑体"/>
                <w:sz w:val="28"/>
              </w:rPr>
            </w:pPr>
            <w:r>
              <w:rPr>
                <w:rFonts w:ascii="黑体" w:eastAsia="黑体"/>
                <w:spacing w:val="-4"/>
                <w:sz w:val="28"/>
              </w:rPr>
              <w:t>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0"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6"/>
              <w:rPr>
                <w:rFonts w:ascii="PMingLiU"/>
                <w:sz w:val="32"/>
              </w:rPr>
            </w:pPr>
          </w:p>
          <w:p>
            <w:pPr>
              <w:pStyle w:val="10"/>
              <w:ind w:left="16"/>
              <w:jc w:val="center"/>
              <w:rPr>
                <w:rFonts w:ascii="黑体"/>
                <w:sz w:val="32"/>
              </w:rPr>
            </w:pPr>
            <w:r>
              <w:rPr>
                <w:rFonts w:ascii="黑体"/>
                <w:w w:val="99"/>
                <w:sz w:val="32"/>
              </w:rPr>
              <w:t>1</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02"/>
              <w:ind w:right="349"/>
              <w:jc w:val="right"/>
              <w:rPr>
                <w:sz w:val="24"/>
              </w:rPr>
            </w:pPr>
            <w:r>
              <w:rPr>
                <w:spacing w:val="-2"/>
                <w:sz w:val="24"/>
              </w:rPr>
              <w:t>电梯安全管理人员</w:t>
            </w:r>
          </w:p>
        </w:tc>
        <w:tc>
          <w:tcPr>
            <w:tcW w:w="3975" w:type="dxa"/>
          </w:tcPr>
          <w:p>
            <w:pPr>
              <w:pStyle w:val="10"/>
              <w:spacing w:before="81" w:line="312" w:lineRule="auto"/>
              <w:ind w:left="106" w:right="6"/>
              <w:rPr>
                <w:sz w:val="24"/>
              </w:rPr>
            </w:pPr>
            <w:r>
              <w:rPr>
                <w:spacing w:val="-2"/>
                <w:sz w:val="24"/>
              </w:rPr>
              <w:t>《中华人民共和国特种设备安全法》第三十六条：电梯、客运索道、大型</w:t>
            </w:r>
            <w:r>
              <w:rPr>
                <w:spacing w:val="2"/>
                <w:sz w:val="24"/>
              </w:rPr>
              <w:t>游乐设施等为公众提供服务的特种</w:t>
            </w:r>
            <w:r>
              <w:rPr>
                <w:spacing w:val="-10"/>
                <w:sz w:val="24"/>
              </w:rPr>
              <w:t>设备的运营使用单位，应当对特种设</w:t>
            </w:r>
            <w:r>
              <w:rPr>
                <w:spacing w:val="-11"/>
                <w:sz w:val="24"/>
              </w:rPr>
              <w:t>备的使用安全负责，设置特种设备安</w:t>
            </w:r>
            <w:r>
              <w:rPr>
                <w:spacing w:val="2"/>
                <w:sz w:val="24"/>
              </w:rPr>
              <w:t>全管理机构或者配备专职的特种设</w:t>
            </w:r>
            <w:r>
              <w:rPr>
                <w:spacing w:val="-11"/>
                <w:sz w:val="24"/>
              </w:rPr>
              <w:t>备安全管理人员；其他特种设备使用</w:t>
            </w:r>
            <w:r>
              <w:rPr>
                <w:spacing w:val="-12"/>
                <w:sz w:val="24"/>
              </w:rPr>
              <w:t>单位，应当根据情况设置特种设备安</w:t>
            </w:r>
            <w:r>
              <w:rPr>
                <w:spacing w:val="-9"/>
                <w:sz w:val="24"/>
              </w:rPr>
              <w:t>全管理机构或者配备专职、兼职的特</w:t>
            </w:r>
          </w:p>
          <w:p>
            <w:pPr>
              <w:pStyle w:val="10"/>
              <w:spacing w:before="2" w:line="299" w:lineRule="exact"/>
              <w:ind w:left="106"/>
              <w:rPr>
                <w:sz w:val="24"/>
              </w:rPr>
            </w:pPr>
            <w:r>
              <w:rPr>
                <w:spacing w:val="-1"/>
                <w:sz w:val="24"/>
              </w:rPr>
              <w:t>种设备安全管理人员。</w:t>
            </w:r>
          </w:p>
        </w:tc>
        <w:tc>
          <w:tcPr>
            <w:tcW w:w="5258" w:type="dxa"/>
          </w:tcPr>
          <w:p>
            <w:pPr>
              <w:pStyle w:val="10"/>
              <w:spacing w:before="6"/>
              <w:rPr>
                <w:rFonts w:ascii="PMingLiU"/>
                <w:sz w:val="34"/>
              </w:rPr>
            </w:pPr>
          </w:p>
          <w:p>
            <w:pPr>
              <w:pStyle w:val="10"/>
              <w:spacing w:line="312" w:lineRule="auto"/>
              <w:ind w:left="108" w:right="-44"/>
              <w:rPr>
                <w:sz w:val="24"/>
              </w:rPr>
            </w:pPr>
            <w:r>
              <w:rPr>
                <w:spacing w:val="-2"/>
                <w:sz w:val="24"/>
              </w:rPr>
              <w:t>《中华人民共和国特种设备安全法》第八十七条</w:t>
            </w:r>
            <w:r>
              <w:rPr>
                <w:spacing w:val="-6"/>
                <w:sz w:val="24"/>
              </w:rPr>
              <w:t>第一款第一项：违反本法规定，电梯、客运索道、</w:t>
            </w:r>
            <w:r>
              <w:rPr>
                <w:spacing w:val="11"/>
                <w:sz w:val="24"/>
              </w:rPr>
              <w:t>大型游乐设施的运营使用单位有下列情形之一</w:t>
            </w:r>
            <w:r>
              <w:rPr>
                <w:spacing w:val="-2"/>
                <w:sz w:val="24"/>
              </w:rPr>
              <w:t>的，责令限期改正；逾期未改正的，责令停止使用有关特种设备或者停产停业整顿，处二万元以上十万元以下罚款：（一）未设置特种设备安全管理机构或者配备专职的特种设备安全管理人员</w:t>
            </w:r>
            <w:r>
              <w:rPr>
                <w:spacing w:val="-6"/>
                <w:sz w:val="24"/>
              </w:rPr>
              <w:t>的。</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3"/>
              <w:rPr>
                <w:rFonts w:ascii="PMingLiU"/>
                <w:sz w:val="24"/>
              </w:rPr>
            </w:pPr>
          </w:p>
          <w:p>
            <w:pPr>
              <w:pStyle w:val="10"/>
              <w:spacing w:line="312" w:lineRule="auto"/>
              <w:ind w:left="108" w:right="84"/>
              <w:rPr>
                <w:sz w:val="24"/>
              </w:rPr>
            </w:pPr>
            <w:r>
              <w:rPr>
                <w:spacing w:val="39"/>
                <w:sz w:val="24"/>
              </w:rPr>
              <w:t>市场监督管</w:t>
            </w:r>
            <w:r>
              <w:rPr>
                <w:spacing w:val="-4"/>
                <w:sz w:val="24"/>
              </w:rPr>
              <w:t>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7" w:hRule="atLeast"/>
        </w:trPr>
        <w:tc>
          <w:tcPr>
            <w:tcW w:w="913" w:type="dxa"/>
          </w:tcPr>
          <w:p>
            <w:pPr>
              <w:pStyle w:val="10"/>
              <w:rPr>
                <w:rFonts w:ascii="PMingLiU"/>
                <w:sz w:val="32"/>
              </w:rPr>
            </w:pPr>
          </w:p>
          <w:p>
            <w:pPr>
              <w:pStyle w:val="10"/>
              <w:rPr>
                <w:rFonts w:ascii="PMingLiU"/>
                <w:sz w:val="32"/>
              </w:rPr>
            </w:pPr>
          </w:p>
          <w:p>
            <w:pPr>
              <w:pStyle w:val="10"/>
              <w:spacing w:before="10"/>
              <w:rPr>
                <w:rFonts w:ascii="PMingLiU"/>
                <w:sz w:val="35"/>
              </w:rPr>
            </w:pPr>
          </w:p>
          <w:p>
            <w:pPr>
              <w:pStyle w:val="10"/>
              <w:ind w:left="16"/>
              <w:jc w:val="center"/>
              <w:rPr>
                <w:rFonts w:ascii="黑体"/>
                <w:sz w:val="32"/>
              </w:rPr>
            </w:pPr>
            <w:r>
              <w:rPr>
                <w:rFonts w:ascii="黑体"/>
                <w:w w:val="99"/>
                <w:sz w:val="32"/>
              </w:rPr>
              <w:t>2</w:t>
            </w:r>
          </w:p>
        </w:tc>
        <w:tc>
          <w:tcPr>
            <w:tcW w:w="2399"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7" w:right="85"/>
              <w:jc w:val="both"/>
              <w:rPr>
                <w:sz w:val="24"/>
              </w:rPr>
            </w:pPr>
            <w:r>
              <w:rPr>
                <w:spacing w:val="31"/>
                <w:sz w:val="24"/>
              </w:rPr>
              <w:t>电梯的安全使用说</w:t>
            </w:r>
            <w:r>
              <w:rPr>
                <w:spacing w:val="-2"/>
                <w:sz w:val="24"/>
              </w:rPr>
              <w:t>明、安全注意事项和</w:t>
            </w:r>
            <w:r>
              <w:rPr>
                <w:spacing w:val="-4"/>
                <w:sz w:val="24"/>
              </w:rPr>
              <w:t>警示标志</w:t>
            </w:r>
          </w:p>
        </w:tc>
        <w:tc>
          <w:tcPr>
            <w:tcW w:w="3975" w:type="dxa"/>
          </w:tcPr>
          <w:p>
            <w:pPr>
              <w:pStyle w:val="10"/>
              <w:spacing w:before="80" w:line="312" w:lineRule="auto"/>
              <w:ind w:left="106" w:right="-44"/>
              <w:rPr>
                <w:sz w:val="24"/>
              </w:rPr>
            </w:pPr>
            <w:r>
              <w:rPr>
                <w:spacing w:val="-2"/>
                <w:sz w:val="24"/>
              </w:rPr>
              <w:t>《中华人民共和国特种设备安全法》</w:t>
            </w:r>
            <w:r>
              <w:rPr>
                <w:spacing w:val="-17"/>
                <w:sz w:val="24"/>
              </w:rPr>
              <w:t>第四十三条第二款：电梯、客运索道、</w:t>
            </w:r>
            <w:r>
              <w:rPr>
                <w:spacing w:val="2"/>
                <w:sz w:val="24"/>
              </w:rPr>
              <w:t>大型游乐设施的运营使用单位应当</w:t>
            </w:r>
            <w:r>
              <w:rPr>
                <w:spacing w:val="-2"/>
                <w:sz w:val="24"/>
              </w:rPr>
              <w:t>将电梯、客运索道、大型游乐设施的</w:t>
            </w:r>
            <w:r>
              <w:rPr>
                <w:spacing w:val="-11"/>
                <w:sz w:val="24"/>
              </w:rPr>
              <w:t>安全使用说明、安全注意事项和警示</w:t>
            </w:r>
            <w:r>
              <w:rPr>
                <w:spacing w:val="2"/>
                <w:sz w:val="24"/>
              </w:rPr>
              <w:t>标志置于易于为乘客注意的显著位</w:t>
            </w:r>
            <w:r>
              <w:rPr>
                <w:spacing w:val="-6"/>
                <w:sz w:val="24"/>
              </w:rPr>
              <w:t>置。</w:t>
            </w:r>
          </w:p>
        </w:tc>
        <w:tc>
          <w:tcPr>
            <w:tcW w:w="5258" w:type="dxa"/>
          </w:tcPr>
          <w:p>
            <w:pPr>
              <w:pStyle w:val="10"/>
              <w:spacing w:before="80" w:line="312" w:lineRule="auto"/>
              <w:ind w:left="108" w:right="-44"/>
              <w:rPr>
                <w:sz w:val="24"/>
              </w:rPr>
            </w:pPr>
            <w:r>
              <w:rPr>
                <w:spacing w:val="-2"/>
                <w:sz w:val="24"/>
              </w:rPr>
              <w:t>《中华人民共和国特种设备安全法》第八十七条</w:t>
            </w:r>
            <w:r>
              <w:rPr>
                <w:spacing w:val="-6"/>
                <w:sz w:val="24"/>
              </w:rPr>
              <w:t>第一款第三项：违反本法规定，电梯、客运索道、</w:t>
            </w:r>
            <w:r>
              <w:rPr>
                <w:spacing w:val="11"/>
                <w:sz w:val="24"/>
              </w:rPr>
              <w:t>大型游乐设施的运营使用单位有下列情形之一</w:t>
            </w:r>
            <w:r>
              <w:rPr>
                <w:spacing w:val="-2"/>
                <w:sz w:val="24"/>
              </w:rPr>
              <w:t>的，责令限期改正；逾期未改正的，责令停止使用有关特种设备或者停产停业整顿，处二万元以</w:t>
            </w:r>
            <w:r>
              <w:rPr>
                <w:spacing w:val="-6"/>
                <w:sz w:val="24"/>
              </w:rPr>
              <w:t>上十万元以下罚款：（三）未将电梯、客运索道、</w:t>
            </w:r>
            <w:r>
              <w:rPr>
                <w:spacing w:val="-2"/>
                <w:sz w:val="24"/>
              </w:rPr>
              <w:t>大型游乐设施的安全使用说明、安全注意事项和</w:t>
            </w:r>
          </w:p>
          <w:p>
            <w:pPr>
              <w:pStyle w:val="10"/>
              <w:spacing w:before="3" w:line="296" w:lineRule="exact"/>
              <w:ind w:left="108"/>
              <w:rPr>
                <w:sz w:val="24"/>
              </w:rPr>
            </w:pPr>
            <w:r>
              <w:rPr>
                <w:spacing w:val="-1"/>
                <w:sz w:val="24"/>
              </w:rPr>
              <w:t>警示标志置于易于为乘客注意的显著位置的。</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8"/>
              <w:rPr>
                <w:rFonts w:ascii="PMingLiU"/>
                <w:sz w:val="19"/>
              </w:rPr>
            </w:pPr>
          </w:p>
          <w:p>
            <w:pPr>
              <w:pStyle w:val="10"/>
              <w:spacing w:line="312" w:lineRule="auto"/>
              <w:ind w:left="108" w:right="84"/>
              <w:rPr>
                <w:sz w:val="24"/>
              </w:rPr>
            </w:pPr>
            <w:r>
              <w:rPr>
                <w:spacing w:val="39"/>
                <w:sz w:val="24"/>
              </w:rPr>
              <w:t>市场监督管</w:t>
            </w:r>
            <w:r>
              <w:rPr>
                <w:spacing w:val="-4"/>
                <w:sz w:val="24"/>
              </w:rPr>
              <w:t>理部门</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399"/>
        <w:gridCol w:w="3975"/>
        <w:gridCol w:w="5258"/>
        <w:gridCol w:w="1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7"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11"/>
              <w:rPr>
                <w:rFonts w:ascii="PMingLiU"/>
                <w:sz w:val="23"/>
              </w:rPr>
            </w:pPr>
          </w:p>
          <w:p>
            <w:pPr>
              <w:pStyle w:val="10"/>
              <w:ind w:left="16"/>
              <w:jc w:val="center"/>
              <w:rPr>
                <w:rFonts w:ascii="黑体"/>
                <w:sz w:val="32"/>
              </w:rPr>
            </w:pPr>
            <w:r>
              <w:rPr>
                <w:rFonts w:ascii="黑体"/>
                <w:w w:val="99"/>
                <w:sz w:val="32"/>
              </w:rPr>
              <w:t>3</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2"/>
              <w:rPr>
                <w:rFonts w:ascii="PMingLiU"/>
                <w:sz w:val="21"/>
              </w:rPr>
            </w:pPr>
          </w:p>
          <w:p>
            <w:pPr>
              <w:pStyle w:val="10"/>
              <w:ind w:left="107"/>
              <w:rPr>
                <w:sz w:val="24"/>
              </w:rPr>
            </w:pPr>
            <w:r>
              <w:rPr>
                <w:spacing w:val="-2"/>
                <w:sz w:val="24"/>
              </w:rPr>
              <w:t>电梯维护保养</w:t>
            </w:r>
          </w:p>
        </w:tc>
        <w:tc>
          <w:tcPr>
            <w:tcW w:w="3975" w:type="dxa"/>
          </w:tcPr>
          <w:p>
            <w:pPr>
              <w:pStyle w:val="10"/>
              <w:spacing w:before="3"/>
              <w:rPr>
                <w:rFonts w:ascii="PMingLiU"/>
                <w:sz w:val="18"/>
              </w:rPr>
            </w:pPr>
          </w:p>
          <w:p>
            <w:pPr>
              <w:pStyle w:val="10"/>
              <w:spacing w:line="312" w:lineRule="auto"/>
              <w:ind w:left="106" w:right="6"/>
              <w:rPr>
                <w:sz w:val="24"/>
              </w:rPr>
            </w:pPr>
            <w:r>
              <w:rPr>
                <w:spacing w:val="-2"/>
                <w:sz w:val="24"/>
              </w:rPr>
              <w:t>《中华人民共和国特种设备安全法》</w:t>
            </w:r>
            <w:r>
              <w:rPr>
                <w:spacing w:val="-11"/>
                <w:sz w:val="24"/>
              </w:rPr>
              <w:t>第四十五条：电梯的维护保养应当由</w:t>
            </w:r>
            <w:r>
              <w:rPr>
                <w:spacing w:val="2"/>
                <w:sz w:val="24"/>
              </w:rPr>
              <w:t>电梯制造单位或者依照本法取得许</w:t>
            </w:r>
            <w:r>
              <w:rPr>
                <w:spacing w:val="-2"/>
                <w:sz w:val="24"/>
              </w:rPr>
              <w:t xml:space="preserve">可的安装、改造、修理单位进行。 </w:t>
            </w:r>
            <w:r>
              <w:rPr>
                <w:spacing w:val="2"/>
                <w:sz w:val="24"/>
              </w:rPr>
              <w:t>电梯的维护保养单位应当在维护保</w:t>
            </w:r>
            <w:r>
              <w:rPr>
                <w:spacing w:val="-2"/>
                <w:sz w:val="24"/>
              </w:rPr>
              <w:t>养中严格执行安全技术规范的要求，保证其维护保养的电梯的安全性能，</w:t>
            </w:r>
            <w:r>
              <w:rPr>
                <w:spacing w:val="-8"/>
                <w:sz w:val="24"/>
              </w:rPr>
              <w:t>并负责落实现场安全防护措施，保证</w:t>
            </w:r>
            <w:r>
              <w:rPr>
                <w:spacing w:val="-2"/>
                <w:sz w:val="24"/>
              </w:rPr>
              <w:t>施工安全。</w:t>
            </w:r>
          </w:p>
          <w:p>
            <w:pPr>
              <w:pStyle w:val="10"/>
              <w:spacing w:before="2" w:line="312" w:lineRule="auto"/>
              <w:ind w:left="106" w:right="85"/>
              <w:jc w:val="both"/>
              <w:rPr>
                <w:sz w:val="24"/>
              </w:rPr>
            </w:pPr>
            <w:r>
              <w:rPr>
                <w:spacing w:val="2"/>
                <w:sz w:val="24"/>
              </w:rPr>
              <w:t>电梯的维护保养单位应当对其维护</w:t>
            </w:r>
            <w:r>
              <w:rPr>
                <w:spacing w:val="-8"/>
                <w:sz w:val="24"/>
              </w:rPr>
              <w:t>保养的电梯的安全性能负责；接到故</w:t>
            </w:r>
            <w:r>
              <w:rPr>
                <w:spacing w:val="-6"/>
                <w:sz w:val="24"/>
              </w:rPr>
              <w:t>障通知后，应当立即赶赴现场，并采</w:t>
            </w:r>
            <w:r>
              <w:rPr>
                <w:spacing w:val="-2"/>
                <w:sz w:val="24"/>
              </w:rPr>
              <w:t>取必要的应急救援措施。</w:t>
            </w:r>
          </w:p>
        </w:tc>
        <w:tc>
          <w:tcPr>
            <w:tcW w:w="5258"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32"/>
              </w:rPr>
            </w:pPr>
          </w:p>
          <w:p>
            <w:pPr>
              <w:pStyle w:val="10"/>
              <w:spacing w:before="1" w:line="312" w:lineRule="auto"/>
              <w:ind w:left="108" w:right="-44"/>
              <w:rPr>
                <w:sz w:val="24"/>
              </w:rPr>
            </w:pPr>
            <w:r>
              <w:rPr>
                <w:spacing w:val="-10"/>
                <w:sz w:val="24"/>
              </w:rPr>
              <w:t>《中华人民共和国特种设备安全法》第八十八条：</w:t>
            </w:r>
            <w:r>
              <w:rPr>
                <w:spacing w:val="-2"/>
                <w:sz w:val="24"/>
              </w:rPr>
              <w:t>违反本法规定，未经许可，擅自从事电梯维护保养的，责令停止违法行为，处一万元以上十万元以下罚款；有违法所得的，没收违法所得。</w:t>
            </w:r>
          </w:p>
          <w:p>
            <w:pPr>
              <w:pStyle w:val="10"/>
              <w:spacing w:line="312" w:lineRule="auto"/>
              <w:ind w:left="108" w:right="85"/>
              <w:jc w:val="both"/>
              <w:rPr>
                <w:sz w:val="24"/>
              </w:rPr>
            </w:pPr>
            <w:r>
              <w:rPr>
                <w:spacing w:val="-2"/>
                <w:sz w:val="24"/>
              </w:rPr>
              <w:t>电梯的维护保养单位未按照本法规定以及安全技术规范的要求，进行电梯维护保养的，依照前款规定处罚。</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3"/>
              <w:rPr>
                <w:rFonts w:ascii="PMingLiU"/>
                <w:sz w:val="26"/>
              </w:rPr>
            </w:pPr>
          </w:p>
          <w:p>
            <w:pPr>
              <w:pStyle w:val="10"/>
              <w:spacing w:line="312" w:lineRule="auto"/>
              <w:ind w:left="108" w:right="84"/>
              <w:rPr>
                <w:sz w:val="24"/>
              </w:rPr>
            </w:pPr>
            <w:r>
              <w:rPr>
                <w:spacing w:val="39"/>
                <w:sz w:val="24"/>
              </w:rPr>
              <w:t>市场监督管</w:t>
            </w:r>
            <w:r>
              <w:rPr>
                <w:spacing w:val="-4"/>
                <w:sz w:val="24"/>
              </w:rPr>
              <w:t>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5" w:hRule="atLeast"/>
        </w:trPr>
        <w:tc>
          <w:tcPr>
            <w:tcW w:w="913" w:type="dxa"/>
          </w:tcPr>
          <w:p>
            <w:pPr>
              <w:pStyle w:val="10"/>
              <w:rPr>
                <w:rFonts w:ascii="PMingLiU"/>
                <w:sz w:val="32"/>
              </w:rPr>
            </w:pPr>
          </w:p>
          <w:p>
            <w:pPr>
              <w:pStyle w:val="10"/>
              <w:rPr>
                <w:rFonts w:ascii="PMingLiU"/>
                <w:sz w:val="32"/>
              </w:rPr>
            </w:pPr>
          </w:p>
          <w:p>
            <w:pPr>
              <w:pStyle w:val="10"/>
              <w:spacing w:before="275"/>
              <w:ind w:left="16"/>
              <w:jc w:val="center"/>
              <w:rPr>
                <w:rFonts w:ascii="黑体"/>
                <w:sz w:val="32"/>
              </w:rPr>
            </w:pPr>
            <w:r>
              <w:rPr>
                <w:rFonts w:ascii="黑体"/>
                <w:w w:val="99"/>
                <w:sz w:val="32"/>
              </w:rPr>
              <w:t>4</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7"/>
              </w:rPr>
            </w:pPr>
          </w:p>
          <w:p>
            <w:pPr>
              <w:pStyle w:val="10"/>
              <w:spacing w:before="1"/>
              <w:ind w:left="107"/>
              <w:rPr>
                <w:sz w:val="24"/>
              </w:rPr>
            </w:pPr>
            <w:r>
              <w:rPr>
                <w:spacing w:val="-2"/>
                <w:sz w:val="24"/>
              </w:rPr>
              <w:t>电梯紧急报警装置</w:t>
            </w:r>
          </w:p>
        </w:tc>
        <w:tc>
          <w:tcPr>
            <w:tcW w:w="3975" w:type="dxa"/>
          </w:tcPr>
          <w:p>
            <w:pPr>
              <w:pStyle w:val="10"/>
              <w:rPr>
                <w:rFonts w:ascii="PMingLiU"/>
                <w:sz w:val="24"/>
              </w:rPr>
            </w:pPr>
          </w:p>
          <w:p>
            <w:pPr>
              <w:pStyle w:val="10"/>
              <w:spacing w:before="11"/>
              <w:rPr>
                <w:rFonts w:ascii="PMingLiU"/>
                <w:sz w:val="22"/>
              </w:rPr>
            </w:pPr>
          </w:p>
          <w:p>
            <w:pPr>
              <w:pStyle w:val="10"/>
              <w:spacing w:line="312" w:lineRule="auto"/>
              <w:ind w:left="106" w:right="85"/>
              <w:jc w:val="both"/>
              <w:rPr>
                <w:sz w:val="24"/>
              </w:rPr>
            </w:pPr>
            <w:r>
              <w:rPr>
                <w:spacing w:val="-8"/>
                <w:sz w:val="24"/>
              </w:rPr>
              <w:t>《安徽省电梯安全监督管理办法》第</w:t>
            </w:r>
            <w:r>
              <w:rPr>
                <w:spacing w:val="-11"/>
                <w:sz w:val="24"/>
              </w:rPr>
              <w:t>十三条第四项：电梯使用单位应当履</w:t>
            </w:r>
            <w:r>
              <w:rPr>
                <w:spacing w:val="-6"/>
                <w:sz w:val="24"/>
              </w:rPr>
              <w:t>行下列义务：（四）保持电梯紧急报</w:t>
            </w:r>
            <w:r>
              <w:rPr>
                <w:spacing w:val="-2"/>
                <w:sz w:val="24"/>
              </w:rPr>
              <w:t>警装置有效应答紧急呼救。</w:t>
            </w:r>
          </w:p>
        </w:tc>
        <w:tc>
          <w:tcPr>
            <w:tcW w:w="5258" w:type="dxa"/>
          </w:tcPr>
          <w:p>
            <w:pPr>
              <w:pStyle w:val="10"/>
              <w:spacing w:before="2"/>
              <w:rPr>
                <w:rFonts w:ascii="PMingLiU"/>
                <w:sz w:val="18"/>
              </w:rPr>
            </w:pPr>
          </w:p>
          <w:p>
            <w:pPr>
              <w:pStyle w:val="10"/>
              <w:spacing w:line="312" w:lineRule="auto"/>
              <w:ind w:left="108" w:right="-44"/>
              <w:jc w:val="both"/>
              <w:rPr>
                <w:sz w:val="24"/>
              </w:rPr>
            </w:pPr>
            <w:r>
              <w:rPr>
                <w:spacing w:val="-2"/>
                <w:sz w:val="24"/>
              </w:rPr>
              <w:t>《安徽省电梯安全监督管理办法》第三十四条第一项：电梯使用单位违反本办法规定，有下列情形之一的，由县级以上人民政府特种设备安全监</w:t>
            </w:r>
            <w:r>
              <w:rPr>
                <w:spacing w:val="-12"/>
                <w:sz w:val="24"/>
              </w:rPr>
              <w:t>督管理部门责令限期改正，并依照下列规定处罚：</w:t>
            </w:r>
          </w:p>
          <w:p>
            <w:pPr>
              <w:pStyle w:val="10"/>
              <w:spacing w:before="2"/>
              <w:ind w:left="108"/>
              <w:jc w:val="both"/>
              <w:rPr>
                <w:sz w:val="24"/>
              </w:rPr>
            </w:pPr>
            <w:r>
              <w:rPr>
                <w:sz w:val="24"/>
              </w:rPr>
              <w:t>（一</w:t>
            </w:r>
            <w:r>
              <w:rPr>
                <w:spacing w:val="-118"/>
                <w:sz w:val="24"/>
              </w:rPr>
              <w:t>）</w:t>
            </w:r>
            <w:r>
              <w:rPr>
                <w:spacing w:val="-5"/>
                <w:sz w:val="24"/>
              </w:rPr>
              <w:t xml:space="preserve">未保持电梯紧急报警装置 </w:t>
            </w:r>
            <w:r>
              <w:rPr>
                <w:sz w:val="24"/>
              </w:rPr>
              <w:t>24</w:t>
            </w:r>
            <w:r>
              <w:rPr>
                <w:spacing w:val="-10"/>
                <w:sz w:val="24"/>
              </w:rPr>
              <w:t xml:space="preserve"> 小时有效应答</w:t>
            </w:r>
          </w:p>
          <w:p>
            <w:pPr>
              <w:pStyle w:val="10"/>
              <w:spacing w:before="93"/>
              <w:ind w:left="108"/>
              <w:jc w:val="both"/>
              <w:rPr>
                <w:sz w:val="24"/>
              </w:rPr>
            </w:pPr>
            <w:r>
              <w:rPr>
                <w:spacing w:val="-8"/>
                <w:sz w:val="24"/>
              </w:rPr>
              <w:t xml:space="preserve">紧急呼救的，处 </w:t>
            </w:r>
            <w:r>
              <w:rPr>
                <w:sz w:val="24"/>
              </w:rPr>
              <w:t>500</w:t>
            </w:r>
            <w:r>
              <w:rPr>
                <w:spacing w:val="-14"/>
                <w:sz w:val="24"/>
              </w:rPr>
              <w:t xml:space="preserve"> 元罚款。</w:t>
            </w:r>
          </w:p>
        </w:tc>
        <w:tc>
          <w:tcPr>
            <w:tcW w:w="1629" w:type="dxa"/>
          </w:tcPr>
          <w:p>
            <w:pPr>
              <w:pStyle w:val="10"/>
              <w:rPr>
                <w:rFonts w:ascii="PMingLiU"/>
                <w:sz w:val="24"/>
              </w:rPr>
            </w:pPr>
          </w:p>
          <w:p>
            <w:pPr>
              <w:pStyle w:val="10"/>
              <w:rPr>
                <w:rFonts w:ascii="PMingLiU"/>
                <w:sz w:val="24"/>
              </w:rPr>
            </w:pPr>
          </w:p>
          <w:p>
            <w:pPr>
              <w:pStyle w:val="10"/>
              <w:spacing w:before="6"/>
              <w:rPr>
                <w:rFonts w:ascii="PMingLiU"/>
                <w:sz w:val="27"/>
              </w:rPr>
            </w:pPr>
          </w:p>
          <w:p>
            <w:pPr>
              <w:pStyle w:val="10"/>
              <w:spacing w:line="312" w:lineRule="auto"/>
              <w:ind w:left="108" w:right="84"/>
              <w:rPr>
                <w:sz w:val="24"/>
              </w:rPr>
            </w:pPr>
            <w:r>
              <w:rPr>
                <w:spacing w:val="39"/>
                <w:sz w:val="24"/>
              </w:rPr>
              <w:t>市场监督管</w:t>
            </w:r>
            <w:r>
              <w:rPr>
                <w:spacing w:val="-4"/>
                <w:sz w:val="24"/>
              </w:rPr>
              <w:t>理部门</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399"/>
        <w:gridCol w:w="3975"/>
        <w:gridCol w:w="5258"/>
        <w:gridCol w:w="1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913"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left="16"/>
              <w:jc w:val="center"/>
              <w:rPr>
                <w:rFonts w:ascii="黑体"/>
                <w:sz w:val="32"/>
              </w:rPr>
            </w:pPr>
            <w:r>
              <w:rPr>
                <w:rFonts w:ascii="黑体"/>
                <w:w w:val="99"/>
                <w:sz w:val="32"/>
              </w:rPr>
              <w:t>5</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9"/>
              </w:rPr>
            </w:pPr>
          </w:p>
          <w:p>
            <w:pPr>
              <w:pStyle w:val="10"/>
              <w:spacing w:before="1"/>
              <w:ind w:left="107"/>
              <w:rPr>
                <w:sz w:val="24"/>
              </w:rPr>
            </w:pPr>
            <w:r>
              <w:rPr>
                <w:spacing w:val="-2"/>
                <w:sz w:val="24"/>
              </w:rPr>
              <w:t>乘客被困救援</w:t>
            </w:r>
          </w:p>
        </w:tc>
        <w:tc>
          <w:tcPr>
            <w:tcW w:w="3975" w:type="dxa"/>
          </w:tcPr>
          <w:p>
            <w:pPr>
              <w:pStyle w:val="10"/>
              <w:rPr>
                <w:rFonts w:ascii="PMingLiU"/>
                <w:sz w:val="24"/>
              </w:rPr>
            </w:pPr>
          </w:p>
          <w:p>
            <w:pPr>
              <w:pStyle w:val="10"/>
              <w:spacing w:before="11"/>
              <w:rPr>
                <w:rFonts w:ascii="PMingLiU"/>
                <w:sz w:val="24"/>
              </w:rPr>
            </w:pPr>
          </w:p>
          <w:p>
            <w:pPr>
              <w:pStyle w:val="10"/>
              <w:spacing w:line="312" w:lineRule="auto"/>
              <w:ind w:left="106" w:right="85"/>
              <w:jc w:val="both"/>
              <w:rPr>
                <w:sz w:val="24"/>
              </w:rPr>
            </w:pPr>
            <w:r>
              <w:rPr>
                <w:spacing w:val="-8"/>
                <w:sz w:val="24"/>
              </w:rPr>
              <w:t>《安徽省电梯安全监督管理办法》第</w:t>
            </w:r>
            <w:r>
              <w:rPr>
                <w:spacing w:val="-6"/>
                <w:sz w:val="24"/>
              </w:rPr>
              <w:t>十三条第七项：（七）电梯发生乘客被困故障时，及时采取措施，并立即</w:t>
            </w:r>
            <w:r>
              <w:rPr>
                <w:spacing w:val="-2"/>
                <w:sz w:val="24"/>
              </w:rPr>
              <w:t>通知电梯维护保养单位到场救援。</w:t>
            </w:r>
          </w:p>
        </w:tc>
        <w:tc>
          <w:tcPr>
            <w:tcW w:w="5258" w:type="dxa"/>
          </w:tcPr>
          <w:p>
            <w:pPr>
              <w:pStyle w:val="10"/>
              <w:spacing w:before="82" w:line="312" w:lineRule="auto"/>
              <w:ind w:left="108" w:right="-44"/>
              <w:jc w:val="both"/>
              <w:rPr>
                <w:sz w:val="24"/>
              </w:rPr>
            </w:pPr>
            <w:r>
              <w:rPr>
                <w:spacing w:val="-2"/>
                <w:sz w:val="24"/>
              </w:rPr>
              <w:t>《安徽省电梯安全监督管理办法》第三十四条第二项：电梯使用单位违反本办法规定，有下列情形之一的，由县级以上人民政府特种设备安全监</w:t>
            </w:r>
            <w:r>
              <w:rPr>
                <w:spacing w:val="-12"/>
                <w:sz w:val="24"/>
              </w:rPr>
              <w:t>督管理部门责令限期改正，并依照下列规定处罚：</w:t>
            </w:r>
          </w:p>
          <w:p>
            <w:pPr>
              <w:pStyle w:val="10"/>
              <w:spacing w:line="312" w:lineRule="auto"/>
              <w:ind w:left="108" w:right="85"/>
              <w:rPr>
                <w:sz w:val="24"/>
              </w:rPr>
            </w:pPr>
            <w:r>
              <w:rPr>
                <w:spacing w:val="-2"/>
                <w:sz w:val="24"/>
              </w:rPr>
              <w:t>（二）电梯发生乘客被困故障时，未及时采取措</w:t>
            </w:r>
            <w:r>
              <w:rPr>
                <w:spacing w:val="-1"/>
                <w:sz w:val="24"/>
              </w:rPr>
              <w:t>施，并立即通知电梯维护保养单位到场救援的，</w:t>
            </w:r>
          </w:p>
          <w:p>
            <w:pPr>
              <w:pStyle w:val="10"/>
              <w:spacing w:before="2" w:line="298" w:lineRule="exact"/>
              <w:ind w:left="108"/>
              <w:rPr>
                <w:sz w:val="24"/>
              </w:rPr>
            </w:pPr>
            <w:r>
              <w:rPr>
                <w:spacing w:val="-30"/>
                <w:sz w:val="24"/>
              </w:rPr>
              <w:t xml:space="preserve">处 </w:t>
            </w:r>
            <w:r>
              <w:rPr>
                <w:sz w:val="24"/>
              </w:rPr>
              <w:t>1000</w:t>
            </w:r>
            <w:r>
              <w:rPr>
                <w:spacing w:val="-24"/>
                <w:sz w:val="24"/>
              </w:rPr>
              <w:t xml:space="preserve"> 元以上 </w:t>
            </w:r>
            <w:r>
              <w:rPr>
                <w:sz w:val="24"/>
              </w:rPr>
              <w:t>5000</w:t>
            </w:r>
            <w:r>
              <w:rPr>
                <w:spacing w:val="-10"/>
                <w:sz w:val="24"/>
              </w:rPr>
              <w:t xml:space="preserve"> 元以下罚款。</w:t>
            </w:r>
          </w:p>
        </w:tc>
        <w:tc>
          <w:tcPr>
            <w:tcW w:w="1629"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8" w:right="84"/>
              <w:rPr>
                <w:sz w:val="24"/>
              </w:rPr>
            </w:pPr>
            <w:r>
              <w:rPr>
                <w:spacing w:val="39"/>
                <w:sz w:val="24"/>
              </w:rPr>
              <w:t>市场监督管</w:t>
            </w:r>
            <w:r>
              <w:rPr>
                <w:spacing w:val="-4"/>
                <w:sz w:val="24"/>
              </w:rPr>
              <w:t>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6" w:hRule="atLeast"/>
        </w:trPr>
        <w:tc>
          <w:tcPr>
            <w:tcW w:w="913" w:type="dxa"/>
          </w:tcPr>
          <w:p>
            <w:pPr>
              <w:pStyle w:val="10"/>
              <w:rPr>
                <w:rFonts w:ascii="PMingLiU"/>
                <w:sz w:val="32"/>
              </w:rPr>
            </w:pPr>
          </w:p>
          <w:p>
            <w:pPr>
              <w:pStyle w:val="10"/>
              <w:spacing w:before="13"/>
              <w:rPr>
                <w:rFonts w:ascii="PMingLiU"/>
                <w:sz w:val="47"/>
              </w:rPr>
            </w:pPr>
          </w:p>
          <w:p>
            <w:pPr>
              <w:pStyle w:val="10"/>
              <w:ind w:left="16"/>
              <w:jc w:val="center"/>
              <w:rPr>
                <w:rFonts w:ascii="黑体"/>
                <w:sz w:val="32"/>
              </w:rPr>
            </w:pPr>
            <w:r>
              <w:rPr>
                <w:rFonts w:ascii="黑体"/>
                <w:w w:val="99"/>
                <w:sz w:val="32"/>
              </w:rPr>
              <w:t>6</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96"/>
              <w:ind w:left="107"/>
              <w:rPr>
                <w:sz w:val="24"/>
              </w:rPr>
            </w:pPr>
            <w:r>
              <w:rPr>
                <w:spacing w:val="-2"/>
                <w:sz w:val="24"/>
              </w:rPr>
              <w:t>物业服务价格</w:t>
            </w:r>
          </w:p>
        </w:tc>
        <w:tc>
          <w:tcPr>
            <w:tcW w:w="3975" w:type="dxa"/>
          </w:tcPr>
          <w:p>
            <w:pPr>
              <w:pStyle w:val="10"/>
              <w:spacing w:before="12"/>
              <w:rPr>
                <w:rFonts w:ascii="PMingLiU"/>
                <w:sz w:val="28"/>
              </w:rPr>
            </w:pPr>
          </w:p>
          <w:p>
            <w:pPr>
              <w:pStyle w:val="10"/>
              <w:spacing w:line="312" w:lineRule="auto"/>
              <w:ind w:left="106" w:right="85"/>
              <w:jc w:val="both"/>
              <w:rPr>
                <w:sz w:val="24"/>
              </w:rPr>
            </w:pPr>
            <w:r>
              <w:rPr>
                <w:spacing w:val="2"/>
                <w:sz w:val="24"/>
              </w:rPr>
              <w:t>《中华人民共和国价格法》第十二</w:t>
            </w:r>
            <w:r>
              <w:rPr>
                <w:spacing w:val="-6"/>
                <w:sz w:val="24"/>
              </w:rPr>
              <w:t>条：经营者进行价格活动，应当遵守法律、法规，执行依法制定的政府指</w:t>
            </w:r>
            <w:r>
              <w:rPr>
                <w:spacing w:val="-12"/>
                <w:sz w:val="24"/>
              </w:rPr>
              <w:t>导价、政府定价和法定的价格干预措</w:t>
            </w:r>
            <w:r>
              <w:rPr>
                <w:spacing w:val="-2"/>
                <w:sz w:val="24"/>
              </w:rPr>
              <w:t>施、紧急措施。</w:t>
            </w:r>
          </w:p>
        </w:tc>
        <w:tc>
          <w:tcPr>
            <w:tcW w:w="5258" w:type="dxa"/>
          </w:tcPr>
          <w:p>
            <w:pPr>
              <w:pStyle w:val="10"/>
              <w:spacing w:before="205" w:line="312" w:lineRule="auto"/>
              <w:ind w:left="108" w:right="-44"/>
              <w:rPr>
                <w:sz w:val="24"/>
              </w:rPr>
            </w:pPr>
            <w:r>
              <w:rPr>
                <w:spacing w:val="-2"/>
                <w:sz w:val="24"/>
              </w:rPr>
              <w:t>《中华人民共和国价格法》第三十九条：经营者不执行政府指导价、政府定价以及法定的价格干</w:t>
            </w:r>
            <w:r>
              <w:rPr>
                <w:spacing w:val="-6"/>
                <w:sz w:val="24"/>
              </w:rPr>
              <w:t>预措施、紧急措施的，责令改正，没收违法所得，</w:t>
            </w:r>
            <w:r>
              <w:rPr>
                <w:spacing w:val="-2"/>
                <w:sz w:val="24"/>
              </w:rPr>
              <w:t>可以并处违法所得五倍以下的罚款；没有违法所得的，可以处以罚款；情节严重的，责令停业整</w:t>
            </w:r>
            <w:r>
              <w:rPr>
                <w:spacing w:val="-6"/>
                <w:sz w:val="24"/>
              </w:rPr>
              <w:t>顿。</w:t>
            </w:r>
          </w:p>
        </w:tc>
        <w:tc>
          <w:tcPr>
            <w:tcW w:w="1629" w:type="dxa"/>
          </w:tcPr>
          <w:p>
            <w:pPr>
              <w:pStyle w:val="10"/>
              <w:rPr>
                <w:rFonts w:ascii="PMingLiU"/>
                <w:sz w:val="24"/>
              </w:rPr>
            </w:pPr>
          </w:p>
          <w:p>
            <w:pPr>
              <w:pStyle w:val="10"/>
              <w:rPr>
                <w:rFonts w:ascii="PMingLiU"/>
                <w:sz w:val="24"/>
              </w:rPr>
            </w:pPr>
          </w:p>
          <w:p>
            <w:pPr>
              <w:pStyle w:val="10"/>
              <w:spacing w:before="11"/>
              <w:rPr>
                <w:rFonts w:ascii="PMingLiU"/>
                <w:sz w:val="23"/>
              </w:rPr>
            </w:pPr>
          </w:p>
          <w:p>
            <w:pPr>
              <w:pStyle w:val="10"/>
              <w:spacing w:line="312" w:lineRule="auto"/>
              <w:ind w:left="108" w:right="84"/>
              <w:rPr>
                <w:sz w:val="24"/>
              </w:rPr>
            </w:pPr>
            <w:r>
              <w:rPr>
                <w:spacing w:val="39"/>
                <w:sz w:val="24"/>
              </w:rPr>
              <w:t>市场监督管</w:t>
            </w:r>
            <w:r>
              <w:rPr>
                <w:spacing w:val="-4"/>
                <w:sz w:val="24"/>
              </w:rPr>
              <w:t>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8" w:hRule="atLeast"/>
        </w:trPr>
        <w:tc>
          <w:tcPr>
            <w:tcW w:w="913" w:type="dxa"/>
          </w:tcPr>
          <w:p>
            <w:pPr>
              <w:pStyle w:val="10"/>
              <w:rPr>
                <w:rFonts w:ascii="PMingLiU"/>
                <w:sz w:val="32"/>
              </w:rPr>
            </w:pPr>
          </w:p>
          <w:p>
            <w:pPr>
              <w:pStyle w:val="10"/>
              <w:rPr>
                <w:rFonts w:ascii="PMingLiU"/>
                <w:sz w:val="32"/>
              </w:rPr>
            </w:pPr>
          </w:p>
          <w:p>
            <w:pPr>
              <w:pStyle w:val="10"/>
              <w:spacing w:before="12"/>
              <w:rPr>
                <w:rFonts w:ascii="PMingLiU"/>
                <w:sz w:val="35"/>
              </w:rPr>
            </w:pPr>
          </w:p>
          <w:p>
            <w:pPr>
              <w:pStyle w:val="10"/>
              <w:ind w:left="16"/>
              <w:jc w:val="center"/>
              <w:rPr>
                <w:rFonts w:ascii="黑体"/>
                <w:sz w:val="32"/>
              </w:rPr>
            </w:pPr>
            <w:r>
              <w:rPr>
                <w:rFonts w:ascii="黑体"/>
                <w:w w:val="99"/>
                <w:sz w:val="32"/>
              </w:rPr>
              <w:t>7</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3"/>
              <w:rPr>
                <w:rFonts w:ascii="PMingLiU"/>
                <w:sz w:val="33"/>
              </w:rPr>
            </w:pPr>
          </w:p>
          <w:p>
            <w:pPr>
              <w:pStyle w:val="10"/>
              <w:ind w:left="107"/>
              <w:rPr>
                <w:sz w:val="24"/>
              </w:rPr>
            </w:pPr>
            <w:r>
              <w:rPr>
                <w:spacing w:val="-2"/>
                <w:sz w:val="24"/>
              </w:rPr>
              <w:t>违反明码标价规定</w:t>
            </w:r>
          </w:p>
        </w:tc>
        <w:tc>
          <w:tcPr>
            <w:tcW w:w="3975" w:type="dxa"/>
          </w:tcPr>
          <w:p>
            <w:pPr>
              <w:pStyle w:val="10"/>
              <w:spacing w:before="80" w:line="312" w:lineRule="auto"/>
              <w:ind w:left="106" w:right="-44"/>
              <w:rPr>
                <w:sz w:val="24"/>
              </w:rPr>
            </w:pPr>
            <w:r>
              <w:rPr>
                <w:spacing w:val="2"/>
                <w:sz w:val="24"/>
              </w:rPr>
              <w:t>《中华人民共和国价格法》第十三</w:t>
            </w:r>
            <w:r>
              <w:rPr>
                <w:spacing w:val="-2"/>
                <w:sz w:val="24"/>
              </w:rPr>
              <w:t>条：经营者销售、收购商品和提供服</w:t>
            </w:r>
            <w:r>
              <w:rPr>
                <w:spacing w:val="-11"/>
                <w:sz w:val="24"/>
              </w:rPr>
              <w:t>务，应当按照政府价格主管部门的规</w:t>
            </w:r>
            <w:r>
              <w:rPr>
                <w:spacing w:val="-18"/>
                <w:sz w:val="24"/>
              </w:rPr>
              <w:t>定明码标价，注明商品的品名、产地、</w:t>
            </w:r>
            <w:r>
              <w:rPr>
                <w:spacing w:val="-2"/>
                <w:sz w:val="24"/>
              </w:rPr>
              <w:t>规格、等级、计价单位、价格或者服务的项目、收费标准等有关情况。经营者不得在标价之外加价出售商品，</w:t>
            </w:r>
          </w:p>
          <w:p>
            <w:pPr>
              <w:pStyle w:val="10"/>
              <w:spacing w:before="3" w:line="297" w:lineRule="exact"/>
              <w:ind w:left="106"/>
              <w:rPr>
                <w:sz w:val="24"/>
              </w:rPr>
            </w:pPr>
            <w:r>
              <w:rPr>
                <w:spacing w:val="-1"/>
                <w:sz w:val="24"/>
              </w:rPr>
              <w:t>不得收取任何未予标明的费用。</w:t>
            </w:r>
          </w:p>
        </w:tc>
        <w:tc>
          <w:tcPr>
            <w:tcW w:w="5258"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8" w:right="-44"/>
              <w:rPr>
                <w:sz w:val="24"/>
              </w:rPr>
            </w:pPr>
            <w:r>
              <w:rPr>
                <w:spacing w:val="-2"/>
                <w:sz w:val="24"/>
              </w:rPr>
              <w:t>《中华人民共和国价格法》第四十二条：经营者</w:t>
            </w:r>
            <w:r>
              <w:rPr>
                <w:spacing w:val="-12"/>
                <w:sz w:val="24"/>
              </w:rPr>
              <w:t>违反明码标价规定的，责令改正，没收违法所得，</w:t>
            </w:r>
            <w:r>
              <w:rPr>
                <w:spacing w:val="-2"/>
                <w:sz w:val="24"/>
              </w:rPr>
              <w:t>可以并处五千元以下的罚款。</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7"/>
              <w:rPr>
                <w:rFonts w:ascii="PMingLiU"/>
                <w:sz w:val="19"/>
              </w:rPr>
            </w:pPr>
          </w:p>
          <w:p>
            <w:pPr>
              <w:pStyle w:val="10"/>
              <w:spacing w:before="1" w:line="312" w:lineRule="auto"/>
              <w:ind w:left="108" w:right="84"/>
              <w:rPr>
                <w:sz w:val="24"/>
              </w:rPr>
            </w:pPr>
            <w:r>
              <w:rPr>
                <w:spacing w:val="39"/>
                <w:sz w:val="24"/>
              </w:rPr>
              <w:t>市场监督管</w:t>
            </w:r>
            <w:r>
              <w:rPr>
                <w:spacing w:val="-4"/>
                <w:sz w:val="24"/>
              </w:rPr>
              <w:t>理部门</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399"/>
        <w:gridCol w:w="3975"/>
        <w:gridCol w:w="5258"/>
        <w:gridCol w:w="1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913" w:type="dxa"/>
          </w:tcPr>
          <w:p>
            <w:pPr>
              <w:pStyle w:val="10"/>
              <w:rPr>
                <w:rFonts w:ascii="PMingLiU"/>
                <w:sz w:val="32"/>
              </w:rPr>
            </w:pPr>
          </w:p>
          <w:p>
            <w:pPr>
              <w:pStyle w:val="10"/>
              <w:rPr>
                <w:rFonts w:ascii="PMingLiU"/>
                <w:sz w:val="32"/>
              </w:rPr>
            </w:pPr>
          </w:p>
          <w:p>
            <w:pPr>
              <w:pStyle w:val="10"/>
              <w:spacing w:before="1"/>
              <w:rPr>
                <w:rFonts w:ascii="PMingLiU"/>
                <w:sz w:val="21"/>
              </w:rPr>
            </w:pPr>
          </w:p>
          <w:p>
            <w:pPr>
              <w:pStyle w:val="10"/>
              <w:ind w:left="16"/>
              <w:jc w:val="center"/>
              <w:rPr>
                <w:rFonts w:ascii="黑体"/>
                <w:sz w:val="32"/>
              </w:rPr>
            </w:pPr>
            <w:r>
              <w:rPr>
                <w:rFonts w:ascii="黑体"/>
                <w:w w:val="99"/>
                <w:sz w:val="32"/>
              </w:rPr>
              <w:t>8</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9"/>
              </w:rPr>
            </w:pPr>
          </w:p>
          <w:p>
            <w:pPr>
              <w:pStyle w:val="10"/>
              <w:spacing w:before="1"/>
              <w:ind w:left="107"/>
              <w:rPr>
                <w:sz w:val="24"/>
              </w:rPr>
            </w:pPr>
            <w:r>
              <w:rPr>
                <w:spacing w:val="-2"/>
                <w:sz w:val="24"/>
              </w:rPr>
              <w:t>办理使用登记</w:t>
            </w:r>
          </w:p>
        </w:tc>
        <w:tc>
          <w:tcPr>
            <w:tcW w:w="3975" w:type="dxa"/>
          </w:tcPr>
          <w:p>
            <w:pPr>
              <w:pStyle w:val="10"/>
              <w:spacing w:before="82" w:line="312" w:lineRule="auto"/>
              <w:ind w:left="106" w:right="6"/>
              <w:rPr>
                <w:sz w:val="24"/>
              </w:rPr>
            </w:pPr>
            <w:r>
              <w:rPr>
                <w:spacing w:val="-2"/>
                <w:sz w:val="24"/>
              </w:rPr>
              <w:t>《中华人民共和国特种设备安全法》</w:t>
            </w:r>
            <w:r>
              <w:rPr>
                <w:spacing w:val="-11"/>
                <w:sz w:val="24"/>
              </w:rPr>
              <w:t>第三十三条：特种设备使用单位应当</w:t>
            </w:r>
            <w:r>
              <w:rPr>
                <w:spacing w:val="2"/>
                <w:sz w:val="24"/>
              </w:rPr>
              <w:t>在特种设备投入使用前或者投入使</w:t>
            </w:r>
            <w:r>
              <w:rPr>
                <w:spacing w:val="-11"/>
                <w:sz w:val="24"/>
              </w:rPr>
              <w:t>用后三十日内，向负责特种设备安全</w:t>
            </w:r>
            <w:r>
              <w:rPr>
                <w:spacing w:val="-8"/>
                <w:sz w:val="24"/>
              </w:rPr>
              <w:t>监督管理的部门办理使用登记，取得</w:t>
            </w:r>
            <w:r>
              <w:rPr>
                <w:spacing w:val="-11"/>
                <w:sz w:val="24"/>
              </w:rPr>
              <w:t>使用登记证书。登记标志应当置于该</w:t>
            </w:r>
          </w:p>
          <w:p>
            <w:pPr>
              <w:pStyle w:val="10"/>
              <w:spacing w:before="2" w:line="298" w:lineRule="exact"/>
              <w:ind w:left="106"/>
              <w:rPr>
                <w:sz w:val="24"/>
              </w:rPr>
            </w:pPr>
            <w:r>
              <w:rPr>
                <w:spacing w:val="-1"/>
                <w:sz w:val="24"/>
              </w:rPr>
              <w:t>特种设备的显著位置。</w:t>
            </w:r>
          </w:p>
        </w:tc>
        <w:tc>
          <w:tcPr>
            <w:tcW w:w="5258" w:type="dxa"/>
          </w:tcPr>
          <w:p>
            <w:pPr>
              <w:pStyle w:val="10"/>
              <w:spacing w:before="82" w:line="312" w:lineRule="auto"/>
              <w:ind w:left="108" w:right="85"/>
              <w:jc w:val="both"/>
              <w:rPr>
                <w:sz w:val="24"/>
              </w:rPr>
            </w:pPr>
            <w:r>
              <w:rPr>
                <w:spacing w:val="-2"/>
                <w:sz w:val="24"/>
              </w:rPr>
              <w:t>《中华人民共和国特种设备安全法》第八十三条第一条第一项：违反本法规定，特种设备使用单位有下列行为之一的，责令限期改正；逾期未改正的，责令停止使用有关特种设备，处一万元以上十万元以下罚款：</w:t>
            </w:r>
          </w:p>
          <w:p>
            <w:pPr>
              <w:pStyle w:val="10"/>
              <w:spacing w:before="1"/>
              <w:ind w:left="108" w:right="-44"/>
              <w:rPr>
                <w:sz w:val="24"/>
              </w:rPr>
            </w:pPr>
            <w:r>
              <w:rPr>
                <w:sz w:val="24"/>
              </w:rPr>
              <w:t>（一</w:t>
            </w:r>
            <w:r>
              <w:rPr>
                <w:spacing w:val="-118"/>
                <w:sz w:val="24"/>
              </w:rPr>
              <w:t>）</w:t>
            </w:r>
            <w:r>
              <w:rPr>
                <w:spacing w:val="-1"/>
                <w:sz w:val="24"/>
              </w:rPr>
              <w:t>使用特种设备未按照规定办理使用登记的。</w:t>
            </w:r>
          </w:p>
        </w:tc>
        <w:tc>
          <w:tcPr>
            <w:tcW w:w="1629" w:type="dxa"/>
          </w:tcPr>
          <w:p>
            <w:pPr>
              <w:pStyle w:val="10"/>
              <w:rPr>
                <w:rFonts w:ascii="PMingLiU"/>
                <w:sz w:val="24"/>
              </w:rPr>
            </w:pPr>
          </w:p>
          <w:p>
            <w:pPr>
              <w:pStyle w:val="10"/>
              <w:rPr>
                <w:rFonts w:ascii="PMingLiU"/>
                <w:sz w:val="24"/>
              </w:rPr>
            </w:pPr>
          </w:p>
          <w:p>
            <w:pPr>
              <w:pStyle w:val="10"/>
              <w:spacing w:before="13"/>
              <w:rPr>
                <w:rFonts w:ascii="PMingLiU"/>
                <w:sz w:val="29"/>
              </w:rPr>
            </w:pPr>
          </w:p>
          <w:p>
            <w:pPr>
              <w:pStyle w:val="10"/>
              <w:spacing w:line="280" w:lineRule="auto"/>
              <w:ind w:left="454" w:right="192" w:hanging="240"/>
              <w:rPr>
                <w:sz w:val="24"/>
              </w:rPr>
            </w:pPr>
            <w:r>
              <w:rPr>
                <w:spacing w:val="-2"/>
                <w:sz w:val="24"/>
              </w:rPr>
              <w:t>市场监督管</w:t>
            </w:r>
            <w:r>
              <w:rPr>
                <w:spacing w:val="-4"/>
                <w:sz w:val="24"/>
              </w:rPr>
              <w:t>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8" w:hRule="atLeast"/>
        </w:trPr>
        <w:tc>
          <w:tcPr>
            <w:tcW w:w="913" w:type="dxa"/>
          </w:tcPr>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spacing w:before="10"/>
              <w:rPr>
                <w:rFonts w:ascii="PMingLiU"/>
                <w:sz w:val="19"/>
              </w:rPr>
            </w:pPr>
          </w:p>
          <w:p>
            <w:pPr>
              <w:pStyle w:val="10"/>
              <w:spacing w:before="1"/>
              <w:ind w:left="17"/>
              <w:jc w:val="center"/>
              <w:rPr>
                <w:rFonts w:ascii="Microsoft JhengHei"/>
                <w:b/>
                <w:sz w:val="28"/>
              </w:rPr>
            </w:pPr>
            <w:r>
              <w:rPr>
                <w:rFonts w:ascii="Microsoft JhengHei"/>
                <w:b/>
                <w:w w:val="84"/>
                <w:sz w:val="28"/>
              </w:rPr>
              <w:t>9</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
              <w:rPr>
                <w:rFonts w:ascii="PMingLiU"/>
                <w:sz w:val="30"/>
              </w:rPr>
            </w:pPr>
          </w:p>
          <w:p>
            <w:pPr>
              <w:pStyle w:val="10"/>
              <w:ind w:left="107"/>
              <w:rPr>
                <w:sz w:val="24"/>
              </w:rPr>
            </w:pPr>
            <w:r>
              <w:rPr>
                <w:spacing w:val="-2"/>
                <w:sz w:val="24"/>
              </w:rPr>
              <w:t>申报定期检验</w:t>
            </w:r>
          </w:p>
        </w:tc>
        <w:tc>
          <w:tcPr>
            <w:tcW w:w="3975" w:type="dxa"/>
          </w:tcPr>
          <w:p>
            <w:pPr>
              <w:pStyle w:val="10"/>
              <w:spacing w:before="82" w:line="312" w:lineRule="auto"/>
              <w:ind w:left="106" w:right="6"/>
              <w:rPr>
                <w:sz w:val="24"/>
              </w:rPr>
            </w:pPr>
            <w:r>
              <w:rPr>
                <w:spacing w:val="-2"/>
                <w:sz w:val="24"/>
              </w:rPr>
              <w:t>《中华人民共和国特种设备安全法》</w:t>
            </w:r>
            <w:r>
              <w:rPr>
                <w:spacing w:val="-11"/>
                <w:sz w:val="24"/>
              </w:rPr>
              <w:t>第四十条：特种设备使用单位应当按</w:t>
            </w:r>
            <w:r>
              <w:rPr>
                <w:spacing w:val="-10"/>
                <w:sz w:val="24"/>
              </w:rPr>
              <w:t>照安全技术规范的要求，在检验合格</w:t>
            </w:r>
            <w:r>
              <w:rPr>
                <w:spacing w:val="2"/>
                <w:sz w:val="24"/>
              </w:rPr>
              <w:t>有效期届满前一个月向特种设备检</w:t>
            </w:r>
            <w:r>
              <w:rPr>
                <w:spacing w:val="-2"/>
                <w:sz w:val="24"/>
              </w:rPr>
              <w:t>验机构提出定期检验要求。</w:t>
            </w:r>
          </w:p>
          <w:p>
            <w:pPr>
              <w:pStyle w:val="10"/>
              <w:spacing w:before="1" w:line="312" w:lineRule="auto"/>
              <w:ind w:left="106" w:right="85"/>
              <w:jc w:val="both"/>
              <w:rPr>
                <w:sz w:val="24"/>
              </w:rPr>
            </w:pPr>
            <w:r>
              <w:rPr>
                <w:spacing w:val="2"/>
                <w:sz w:val="24"/>
              </w:rPr>
              <w:t>特种设备检验机构接到定期检验要</w:t>
            </w:r>
            <w:r>
              <w:rPr>
                <w:spacing w:val="-12"/>
                <w:sz w:val="24"/>
              </w:rPr>
              <w:t>求后，应当按照安全技术规范的要求</w:t>
            </w:r>
            <w:r>
              <w:rPr>
                <w:spacing w:val="-10"/>
                <w:sz w:val="24"/>
              </w:rPr>
              <w:t>及时进行安全性能检验。特种设备使</w:t>
            </w:r>
            <w:r>
              <w:rPr>
                <w:spacing w:val="2"/>
                <w:sz w:val="24"/>
              </w:rPr>
              <w:t>用单位应当将定期检验标志置于该</w:t>
            </w:r>
            <w:r>
              <w:rPr>
                <w:spacing w:val="-2"/>
                <w:sz w:val="24"/>
              </w:rPr>
              <w:t>特种设备的显著位置。</w:t>
            </w:r>
          </w:p>
          <w:p>
            <w:pPr>
              <w:pStyle w:val="10"/>
              <w:spacing w:line="312" w:lineRule="auto"/>
              <w:ind w:left="106" w:right="88"/>
              <w:rPr>
                <w:sz w:val="24"/>
              </w:rPr>
            </w:pPr>
            <w:r>
              <w:rPr>
                <w:spacing w:val="2"/>
                <w:sz w:val="24"/>
              </w:rPr>
              <w:t>未经定期检验或者检验不合格的特</w:t>
            </w:r>
            <w:r>
              <w:rPr>
                <w:spacing w:val="-2"/>
                <w:sz w:val="24"/>
              </w:rPr>
              <w:t>种设备，不得继续使用。</w:t>
            </w:r>
          </w:p>
        </w:tc>
        <w:tc>
          <w:tcPr>
            <w:tcW w:w="5258" w:type="dxa"/>
          </w:tcPr>
          <w:p>
            <w:pPr>
              <w:pStyle w:val="10"/>
              <w:spacing w:before="34" w:line="264" w:lineRule="auto"/>
              <w:ind w:left="108" w:right="85"/>
              <w:jc w:val="both"/>
              <w:rPr>
                <w:sz w:val="24"/>
              </w:rPr>
            </w:pPr>
            <w:r>
              <w:rPr>
                <w:spacing w:val="-2"/>
                <w:sz w:val="24"/>
              </w:rPr>
              <w:t>《中华人民共和国特种设备安全法》第八十三条第一条第二、四款：违反本法规定，特种设备使用单位有下列行为之一的，责令限期改正；逾期未改正的，责令停止使用有关特种设备，处一万元以上十万元以下罚款：</w:t>
            </w:r>
          </w:p>
          <w:p>
            <w:pPr>
              <w:pStyle w:val="10"/>
              <w:spacing w:before="8" w:line="264" w:lineRule="auto"/>
              <w:ind w:left="108" w:right="85"/>
              <w:jc w:val="both"/>
              <w:rPr>
                <w:sz w:val="24"/>
              </w:rPr>
            </w:pPr>
            <w:r>
              <w:rPr>
                <w:spacing w:val="-2"/>
                <w:sz w:val="24"/>
              </w:rPr>
              <w:t>（二）未建立特种设备安全技术档案或者安全技术档案不符合规定要求，或者未依法设置使用登记标志、定期检验标志的；</w:t>
            </w:r>
          </w:p>
          <w:p>
            <w:pPr>
              <w:pStyle w:val="10"/>
              <w:spacing w:before="5" w:line="266" w:lineRule="auto"/>
              <w:ind w:left="108" w:right="85"/>
              <w:rPr>
                <w:sz w:val="24"/>
              </w:rPr>
            </w:pPr>
            <w:r>
              <w:rPr>
                <w:spacing w:val="-2"/>
                <w:sz w:val="24"/>
              </w:rPr>
              <w:t>（四）未按照安全技术规范的要求及时申报并接受检验的；</w:t>
            </w:r>
          </w:p>
          <w:p>
            <w:pPr>
              <w:pStyle w:val="10"/>
              <w:spacing w:line="266" w:lineRule="auto"/>
              <w:ind w:left="108" w:right="-44"/>
              <w:jc w:val="both"/>
              <w:rPr>
                <w:sz w:val="24"/>
              </w:rPr>
            </w:pPr>
            <w:r>
              <w:rPr>
                <w:spacing w:val="-2"/>
                <w:sz w:val="24"/>
              </w:rPr>
              <w:t>《中华人民共和国特种设备安全法》第八十四条</w:t>
            </w:r>
            <w:r>
              <w:rPr>
                <w:spacing w:val="-11"/>
                <w:sz w:val="24"/>
              </w:rPr>
              <w:t>第一条第一款：第八十四条 违反本法规定，特种</w:t>
            </w:r>
            <w:r>
              <w:rPr>
                <w:spacing w:val="-2"/>
                <w:sz w:val="24"/>
              </w:rPr>
              <w:t>设备使用单位有下列行为之一的，责令停止使用</w:t>
            </w:r>
            <w:r>
              <w:rPr>
                <w:spacing w:val="-13"/>
                <w:sz w:val="24"/>
              </w:rPr>
              <w:t>有关特种设备，处三万元以上三十万元以下罚款：</w:t>
            </w:r>
          </w:p>
          <w:p>
            <w:pPr>
              <w:pStyle w:val="10"/>
              <w:spacing w:line="303" w:lineRule="exact"/>
              <w:ind w:left="108"/>
              <w:rPr>
                <w:sz w:val="24"/>
              </w:rPr>
            </w:pPr>
            <w:r>
              <w:rPr>
                <w:sz w:val="24"/>
              </w:rPr>
              <w:t>（一）</w:t>
            </w:r>
            <w:r>
              <w:rPr>
                <w:spacing w:val="-1"/>
                <w:sz w:val="24"/>
              </w:rPr>
              <w:t>使用未取得许可生产，未经检验或者检验</w:t>
            </w:r>
          </w:p>
          <w:p>
            <w:pPr>
              <w:pStyle w:val="10"/>
              <w:spacing w:line="340" w:lineRule="atLeast"/>
              <w:ind w:left="108" w:right="85"/>
              <w:rPr>
                <w:sz w:val="24"/>
              </w:rPr>
            </w:pPr>
            <w:r>
              <w:rPr>
                <w:spacing w:val="-2"/>
                <w:sz w:val="24"/>
              </w:rPr>
              <w:t>不合格的特种设备，或者国家明令淘汰、已经报废的特种设备的；</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5"/>
              <w:rPr>
                <w:rFonts w:ascii="PMingLiU"/>
                <w:sz w:val="16"/>
              </w:rPr>
            </w:pPr>
          </w:p>
          <w:p>
            <w:pPr>
              <w:pStyle w:val="10"/>
              <w:spacing w:line="280" w:lineRule="auto"/>
              <w:ind w:left="454" w:right="192" w:hanging="240"/>
              <w:rPr>
                <w:sz w:val="24"/>
              </w:rPr>
            </w:pPr>
            <w:r>
              <w:rPr>
                <w:spacing w:val="-2"/>
                <w:sz w:val="24"/>
              </w:rPr>
              <w:t>市场监督管</w:t>
            </w:r>
            <w:r>
              <w:rPr>
                <w:spacing w:val="-4"/>
                <w:sz w:val="24"/>
              </w:rPr>
              <w:t>理部门</w:t>
            </w:r>
          </w:p>
        </w:tc>
      </w:tr>
    </w:tbl>
    <w:p>
      <w:pPr>
        <w:spacing w:after="0" w:line="280"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bookmarkStart w:id="7" w:name="_bookmark2"/>
      <w:bookmarkEnd w:id="7"/>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399"/>
        <w:gridCol w:w="3975"/>
        <w:gridCol w:w="5258"/>
        <w:gridCol w:w="1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0" w:hRule="atLeast"/>
        </w:trPr>
        <w:tc>
          <w:tcPr>
            <w:tcW w:w="913" w:type="dxa"/>
          </w:tcPr>
          <w:p>
            <w:pPr>
              <w:pStyle w:val="10"/>
              <w:rPr>
                <w:rFonts w:ascii="PMingLiU"/>
                <w:sz w:val="28"/>
              </w:rPr>
            </w:pPr>
          </w:p>
          <w:p>
            <w:pPr>
              <w:pStyle w:val="10"/>
              <w:spacing w:before="13"/>
              <w:rPr>
                <w:rFonts w:ascii="PMingLiU"/>
                <w:sz w:val="38"/>
              </w:rPr>
            </w:pPr>
          </w:p>
          <w:p>
            <w:pPr>
              <w:pStyle w:val="10"/>
              <w:ind w:left="161" w:right="142"/>
              <w:jc w:val="center"/>
              <w:rPr>
                <w:rFonts w:ascii="Microsoft JhengHei"/>
                <w:b/>
                <w:sz w:val="28"/>
              </w:rPr>
            </w:pPr>
            <w:r>
              <w:rPr>
                <w:rFonts w:ascii="Microsoft JhengHei"/>
                <w:b/>
                <w:spacing w:val="-5"/>
                <w:w w:val="95"/>
                <w:sz w:val="28"/>
              </w:rPr>
              <w:t>10</w:t>
            </w:r>
          </w:p>
        </w:tc>
        <w:tc>
          <w:tcPr>
            <w:tcW w:w="2399"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ind w:left="107"/>
              <w:rPr>
                <w:sz w:val="24"/>
              </w:rPr>
            </w:pPr>
            <w:r>
              <w:rPr>
                <w:spacing w:val="-2"/>
                <w:sz w:val="24"/>
              </w:rPr>
              <w:t>消除事故隐患</w:t>
            </w:r>
          </w:p>
        </w:tc>
        <w:tc>
          <w:tcPr>
            <w:tcW w:w="3975" w:type="dxa"/>
          </w:tcPr>
          <w:p>
            <w:pPr>
              <w:pStyle w:val="10"/>
              <w:spacing w:before="82" w:line="312" w:lineRule="auto"/>
              <w:ind w:left="106" w:right="6"/>
              <w:rPr>
                <w:sz w:val="24"/>
              </w:rPr>
            </w:pPr>
            <w:r>
              <w:rPr>
                <w:spacing w:val="-2"/>
                <w:sz w:val="24"/>
              </w:rPr>
              <w:t>《中华人民共和国特种设备安全法》</w:t>
            </w:r>
            <w:r>
              <w:rPr>
                <w:spacing w:val="-11"/>
                <w:sz w:val="24"/>
              </w:rPr>
              <w:t>第四十二条：特种设备出现故障或者发生异常情况，特种设备使用单位应</w:t>
            </w:r>
            <w:r>
              <w:rPr>
                <w:spacing w:val="2"/>
                <w:sz w:val="24"/>
              </w:rPr>
              <w:t>当对其进行全面检查，消除事故隐</w:t>
            </w:r>
            <w:r>
              <w:rPr>
                <w:spacing w:val="-2"/>
                <w:sz w:val="24"/>
              </w:rPr>
              <w:t>患，方可继续使用。</w:t>
            </w:r>
          </w:p>
        </w:tc>
        <w:tc>
          <w:tcPr>
            <w:tcW w:w="5258" w:type="dxa"/>
          </w:tcPr>
          <w:p>
            <w:pPr>
              <w:pStyle w:val="10"/>
              <w:spacing w:before="82" w:line="312" w:lineRule="auto"/>
              <w:ind w:left="108" w:right="-44"/>
              <w:jc w:val="both"/>
              <w:rPr>
                <w:sz w:val="24"/>
              </w:rPr>
            </w:pPr>
            <w:r>
              <w:rPr>
                <w:spacing w:val="-2"/>
                <w:sz w:val="24"/>
              </w:rPr>
              <w:t>《中华人民共和国特种设备安全法》第八十四条</w:t>
            </w:r>
            <w:r>
              <w:rPr>
                <w:spacing w:val="-11"/>
                <w:sz w:val="24"/>
              </w:rPr>
              <w:t>第一条第二款：第八十四条 违反本法规定，特种</w:t>
            </w:r>
            <w:r>
              <w:rPr>
                <w:spacing w:val="-2"/>
                <w:sz w:val="24"/>
              </w:rPr>
              <w:t>设备使用单位有下列行为之一的，责令停止使用</w:t>
            </w:r>
            <w:r>
              <w:rPr>
                <w:spacing w:val="-13"/>
                <w:sz w:val="24"/>
              </w:rPr>
              <w:t>有关特种设备，处三万元以上三十万元以下罚款：</w:t>
            </w:r>
          </w:p>
          <w:p>
            <w:pPr>
              <w:pStyle w:val="10"/>
              <w:spacing w:line="307" w:lineRule="exact"/>
              <w:ind w:left="108"/>
              <w:rPr>
                <w:sz w:val="24"/>
              </w:rPr>
            </w:pPr>
            <w:r>
              <w:rPr>
                <w:sz w:val="24"/>
              </w:rPr>
              <w:t>（二）</w:t>
            </w:r>
            <w:r>
              <w:rPr>
                <w:spacing w:val="-1"/>
                <w:sz w:val="24"/>
              </w:rPr>
              <w:t>特种设备出现故障或者发生异常情况，未</w:t>
            </w:r>
          </w:p>
          <w:p>
            <w:pPr>
              <w:pStyle w:val="10"/>
              <w:spacing w:before="93" w:line="298" w:lineRule="exact"/>
              <w:ind w:left="108" w:right="-44"/>
              <w:rPr>
                <w:sz w:val="24"/>
              </w:rPr>
            </w:pPr>
            <w:r>
              <w:rPr>
                <w:spacing w:val="-11"/>
                <w:sz w:val="24"/>
              </w:rPr>
              <w:t>对其进行全面检查、消除事故隐患，继续使用的。</w:t>
            </w:r>
          </w:p>
        </w:tc>
        <w:tc>
          <w:tcPr>
            <w:tcW w:w="1629" w:type="dxa"/>
          </w:tcPr>
          <w:p>
            <w:pPr>
              <w:pStyle w:val="10"/>
              <w:rPr>
                <w:rFonts w:ascii="PMingLiU"/>
                <w:sz w:val="24"/>
              </w:rPr>
            </w:pPr>
          </w:p>
          <w:p>
            <w:pPr>
              <w:pStyle w:val="10"/>
              <w:spacing w:before="11"/>
              <w:rPr>
                <w:rFonts w:ascii="PMingLiU"/>
                <w:sz w:val="24"/>
              </w:rPr>
            </w:pPr>
          </w:p>
          <w:p>
            <w:pPr>
              <w:pStyle w:val="10"/>
              <w:ind w:left="108"/>
              <w:rPr>
                <w:sz w:val="24"/>
              </w:rPr>
            </w:pPr>
            <w:r>
              <w:rPr>
                <w:spacing w:val="39"/>
                <w:sz w:val="24"/>
              </w:rPr>
              <w:t>市场监督管</w:t>
            </w:r>
          </w:p>
          <w:p>
            <w:pPr>
              <w:pStyle w:val="10"/>
              <w:spacing w:before="91" w:line="312" w:lineRule="auto"/>
              <w:ind w:left="828" w:right="84"/>
              <w:rPr>
                <w:sz w:val="24"/>
              </w:rPr>
            </w:pPr>
            <w:r>
              <w:rPr>
                <w:spacing w:val="13"/>
                <w:sz w:val="24"/>
              </w:rPr>
              <w:t>理 部</w:t>
            </w:r>
            <w:r>
              <w:rPr>
                <w:spacing w:val="-10"/>
                <w:sz w:val="24"/>
              </w:rPr>
              <w:t>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0" w:hRule="atLeast"/>
        </w:trPr>
        <w:tc>
          <w:tcPr>
            <w:tcW w:w="913" w:type="dxa"/>
          </w:tcPr>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rPr>
                <w:rFonts w:ascii="PMingLiU"/>
                <w:sz w:val="28"/>
              </w:rPr>
            </w:pPr>
          </w:p>
          <w:p>
            <w:pPr>
              <w:pStyle w:val="10"/>
              <w:spacing w:before="11"/>
              <w:rPr>
                <w:rFonts w:ascii="PMingLiU"/>
                <w:sz w:val="27"/>
              </w:rPr>
            </w:pPr>
          </w:p>
          <w:p>
            <w:pPr>
              <w:pStyle w:val="10"/>
              <w:ind w:left="161" w:right="142"/>
              <w:jc w:val="center"/>
              <w:rPr>
                <w:rFonts w:ascii="Microsoft JhengHei"/>
                <w:b/>
                <w:sz w:val="28"/>
              </w:rPr>
            </w:pPr>
            <w:r>
              <w:rPr>
                <w:rFonts w:ascii="Microsoft JhengHei"/>
                <w:b/>
                <w:spacing w:val="-5"/>
                <w:w w:val="95"/>
                <w:sz w:val="28"/>
              </w:rPr>
              <w:t>11</w:t>
            </w:r>
          </w:p>
        </w:tc>
        <w:tc>
          <w:tcPr>
            <w:tcW w:w="239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1"/>
              <w:rPr>
                <w:rFonts w:ascii="PMingLiU"/>
                <w:sz w:val="28"/>
              </w:rPr>
            </w:pPr>
          </w:p>
          <w:p>
            <w:pPr>
              <w:pStyle w:val="10"/>
              <w:spacing w:line="312" w:lineRule="auto"/>
              <w:ind w:left="107" w:right="85"/>
              <w:jc w:val="both"/>
              <w:rPr>
                <w:sz w:val="24"/>
              </w:rPr>
            </w:pPr>
            <w:r>
              <w:rPr>
                <w:spacing w:val="-2"/>
                <w:sz w:val="24"/>
              </w:rPr>
              <w:t>建立电梯安全管理制度，落实使用单位主要负责人、电梯安全总监、电梯安全员使用安全责任</w:t>
            </w:r>
          </w:p>
        </w:tc>
        <w:tc>
          <w:tcPr>
            <w:tcW w:w="3975" w:type="dxa"/>
          </w:tcPr>
          <w:p>
            <w:pPr>
              <w:pStyle w:val="10"/>
              <w:rPr>
                <w:rFonts w:ascii="PMingLiU"/>
                <w:sz w:val="24"/>
              </w:rPr>
            </w:pPr>
          </w:p>
          <w:p>
            <w:pPr>
              <w:pStyle w:val="10"/>
              <w:spacing w:before="10"/>
              <w:rPr>
                <w:rFonts w:ascii="PMingLiU"/>
                <w:sz w:val="24"/>
              </w:rPr>
            </w:pPr>
          </w:p>
          <w:p>
            <w:pPr>
              <w:pStyle w:val="10"/>
              <w:spacing w:line="312" w:lineRule="auto"/>
              <w:ind w:left="106" w:right="85"/>
              <w:jc w:val="both"/>
              <w:rPr>
                <w:sz w:val="24"/>
              </w:rPr>
            </w:pPr>
            <w:r>
              <w:rPr>
                <w:spacing w:val="2"/>
                <w:sz w:val="24"/>
              </w:rPr>
              <w:t>《特种设备使用单位落实使用安全</w:t>
            </w:r>
            <w:r>
              <w:rPr>
                <w:spacing w:val="4"/>
                <w:sz w:val="24"/>
              </w:rPr>
              <w:t>主体责任监督管理规定》</w:t>
            </w:r>
            <w:r>
              <w:rPr>
                <w:spacing w:val="10"/>
                <w:sz w:val="24"/>
              </w:rPr>
              <w:t>（</w:t>
            </w:r>
            <w:r>
              <w:rPr>
                <w:spacing w:val="3"/>
                <w:sz w:val="24"/>
              </w:rPr>
              <w:t>总局第</w:t>
            </w:r>
            <w:r>
              <w:rPr>
                <w:sz w:val="24"/>
              </w:rPr>
              <w:t xml:space="preserve"> </w:t>
            </w:r>
            <w:r>
              <w:rPr>
                <w:w w:val="95"/>
                <w:sz w:val="24"/>
              </w:rPr>
              <w:t>74 号令）六十九条：电梯使用单位</w:t>
            </w:r>
            <w:r>
              <w:rPr>
                <w:spacing w:val="2"/>
                <w:sz w:val="24"/>
              </w:rPr>
              <w:t>应当依法配备电梯安全总监和电梯</w:t>
            </w:r>
            <w:r>
              <w:rPr>
                <w:spacing w:val="-11"/>
                <w:sz w:val="24"/>
              </w:rPr>
              <w:t>安全员，明确电梯安全总监和电梯安</w:t>
            </w:r>
            <w:r>
              <w:rPr>
                <w:spacing w:val="-2"/>
                <w:sz w:val="24"/>
              </w:rPr>
              <w:t>全员的岗位职责。</w:t>
            </w:r>
          </w:p>
          <w:p>
            <w:pPr>
              <w:pStyle w:val="10"/>
              <w:spacing w:before="2" w:line="312" w:lineRule="auto"/>
              <w:ind w:left="106" w:right="6"/>
              <w:rPr>
                <w:sz w:val="24"/>
              </w:rPr>
            </w:pPr>
            <w:r>
              <w:rPr>
                <w:spacing w:val="2"/>
                <w:sz w:val="24"/>
              </w:rPr>
              <w:t>电梯使用单位主要负责人对本单位</w:t>
            </w:r>
            <w:r>
              <w:rPr>
                <w:spacing w:val="-10"/>
                <w:sz w:val="24"/>
              </w:rPr>
              <w:t>电梯使用安全全面负责，建立并落实</w:t>
            </w:r>
            <w:r>
              <w:rPr>
                <w:spacing w:val="-2"/>
                <w:sz w:val="24"/>
              </w:rPr>
              <w:t>电梯使用安全主体责任的长效机制。</w:t>
            </w:r>
            <w:r>
              <w:rPr>
                <w:spacing w:val="2"/>
                <w:sz w:val="24"/>
              </w:rPr>
              <w:t>电梯安全总监和电梯安全员应当按</w:t>
            </w:r>
            <w:r>
              <w:rPr>
                <w:spacing w:val="-11"/>
                <w:sz w:val="24"/>
              </w:rPr>
              <w:t>照岗位职责，协助单位主要负责人做</w:t>
            </w:r>
            <w:r>
              <w:rPr>
                <w:spacing w:val="-2"/>
                <w:sz w:val="24"/>
              </w:rPr>
              <w:t>好电梯使用安全管理工作。</w:t>
            </w:r>
          </w:p>
        </w:tc>
        <w:tc>
          <w:tcPr>
            <w:tcW w:w="5258" w:type="dxa"/>
          </w:tcPr>
          <w:p>
            <w:pPr>
              <w:pStyle w:val="10"/>
              <w:spacing w:before="81" w:line="312" w:lineRule="auto"/>
              <w:ind w:left="108" w:right="-44"/>
              <w:rPr>
                <w:sz w:val="24"/>
              </w:rPr>
            </w:pPr>
            <w:r>
              <w:rPr>
                <w:spacing w:val="-2"/>
                <w:sz w:val="24"/>
              </w:rPr>
              <w:t>《特种设备使用单位落实使用安全主体责任监督</w:t>
            </w:r>
            <w:r>
              <w:rPr>
                <w:spacing w:val="-12"/>
                <w:sz w:val="24"/>
              </w:rPr>
              <w:t>管理规定》</w:t>
            </w:r>
            <w:r>
              <w:rPr>
                <w:sz w:val="24"/>
              </w:rPr>
              <w:t>（</w:t>
            </w:r>
            <w:r>
              <w:rPr>
                <w:spacing w:val="-11"/>
                <w:sz w:val="24"/>
              </w:rPr>
              <w:t xml:space="preserve">总局第 </w:t>
            </w:r>
            <w:r>
              <w:rPr>
                <w:sz w:val="24"/>
              </w:rPr>
              <w:t>74</w:t>
            </w:r>
            <w:r>
              <w:rPr>
                <w:spacing w:val="-15"/>
                <w:sz w:val="24"/>
              </w:rPr>
              <w:t xml:space="preserve"> 号令</w:t>
            </w:r>
            <w:r>
              <w:rPr>
                <w:sz w:val="24"/>
              </w:rPr>
              <w:t>）八十四条：电梯使</w:t>
            </w:r>
            <w:r>
              <w:rPr>
                <w:spacing w:val="-2"/>
                <w:sz w:val="24"/>
              </w:rPr>
              <w:t>用单位未按规定建立安全管理制度，或者未按规</w:t>
            </w:r>
            <w:r>
              <w:rPr>
                <w:spacing w:val="-13"/>
                <w:sz w:val="24"/>
              </w:rPr>
              <w:t>定配备、培训、考核电梯安全总监和电梯安全员，</w:t>
            </w:r>
            <w:r>
              <w:rPr>
                <w:spacing w:val="-2"/>
                <w:sz w:val="24"/>
              </w:rPr>
              <w:t>由县级以上地方市场监督管理部门责令改正并给予通报批评；拒不改正的，处五千元以上五万元以下罚款，并将处罚情况纳入国家企业信用信息公示系统。法律、行政法规另有规定的，依照其规定执行。</w:t>
            </w:r>
          </w:p>
          <w:p>
            <w:pPr>
              <w:pStyle w:val="10"/>
              <w:spacing w:before="3" w:line="312" w:lineRule="auto"/>
              <w:ind w:left="108" w:right="85"/>
              <w:jc w:val="both"/>
              <w:rPr>
                <w:sz w:val="24"/>
              </w:rPr>
            </w:pPr>
            <w:r>
              <w:rPr>
                <w:spacing w:val="-2"/>
                <w:sz w:val="24"/>
              </w:rPr>
              <w:t>电梯使用单位主要负责人、电梯安全总监、电梯安全员未按规定要求落实使用安全责任的，由县级以上地方市场监督管理部门责令改正并给予通报批评；拒不改正的，对责任人处二千元以上一</w:t>
            </w:r>
            <w:r>
              <w:rPr>
                <w:spacing w:val="-1"/>
                <w:sz w:val="24"/>
              </w:rPr>
              <w:t>万元以下罚款。法律、行政法规另有规定的，依</w:t>
            </w:r>
          </w:p>
          <w:p>
            <w:pPr>
              <w:pStyle w:val="10"/>
              <w:spacing w:line="299" w:lineRule="exact"/>
              <w:ind w:left="108"/>
              <w:rPr>
                <w:sz w:val="24"/>
              </w:rPr>
            </w:pPr>
            <w:r>
              <w:rPr>
                <w:spacing w:val="-2"/>
                <w:sz w:val="24"/>
              </w:rPr>
              <w:t>照其规定执行。</w:t>
            </w:r>
          </w:p>
        </w:tc>
        <w:tc>
          <w:tcPr>
            <w:tcW w:w="162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23"/>
              </w:rPr>
            </w:pPr>
          </w:p>
          <w:p>
            <w:pPr>
              <w:pStyle w:val="10"/>
              <w:ind w:left="108"/>
              <w:rPr>
                <w:sz w:val="24"/>
              </w:rPr>
            </w:pPr>
            <w:r>
              <w:rPr>
                <w:spacing w:val="39"/>
                <w:sz w:val="24"/>
              </w:rPr>
              <w:t>市场监督管</w:t>
            </w:r>
          </w:p>
          <w:p>
            <w:pPr>
              <w:pStyle w:val="10"/>
              <w:spacing w:before="94"/>
              <w:ind w:left="588"/>
              <w:rPr>
                <w:sz w:val="24"/>
              </w:rPr>
            </w:pPr>
            <w:r>
              <w:rPr>
                <w:spacing w:val="-4"/>
                <w:sz w:val="24"/>
              </w:rPr>
              <w:t>理部门</w:t>
            </w:r>
          </w:p>
        </w:tc>
      </w:tr>
    </w:tbl>
    <w:p>
      <w:pPr>
        <w:spacing w:after="0"/>
        <w:rPr>
          <w:sz w:val="24"/>
        </w:rPr>
        <w:sectPr>
          <w:pgSz w:w="16840" w:h="11910" w:orient="landscape"/>
          <w:pgMar w:top="1340" w:right="1220" w:bottom="1160" w:left="1100" w:header="0" w:footer="972" w:gutter="0"/>
          <w:cols w:space="720" w:num="1"/>
        </w:sectPr>
      </w:pPr>
    </w:p>
    <w:p>
      <w:pPr>
        <w:pStyle w:val="3"/>
        <w:rPr>
          <w:rFonts w:ascii="PMingLiU"/>
          <w:sz w:val="20"/>
        </w:rPr>
      </w:pPr>
    </w:p>
    <w:p>
      <w:pPr>
        <w:pStyle w:val="3"/>
        <w:spacing w:before="1"/>
        <w:rPr>
          <w:rFonts w:ascii="PMingLiU"/>
          <w:sz w:val="24"/>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1968"/>
        <w:gridCol w:w="4406"/>
        <w:gridCol w:w="5019"/>
        <w:gridCol w:w="18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4174" w:type="dxa"/>
            <w:gridSpan w:val="5"/>
          </w:tcPr>
          <w:p>
            <w:pPr>
              <w:pStyle w:val="10"/>
              <w:spacing w:before="133"/>
              <w:ind w:left="5681" w:right="5662"/>
              <w:jc w:val="center"/>
              <w:rPr>
                <w:rFonts w:ascii="黑体" w:eastAsia="黑体"/>
                <w:sz w:val="28"/>
              </w:rPr>
            </w:pPr>
            <w:bookmarkStart w:id="8" w:name="公安部门执法事项"/>
            <w:bookmarkEnd w:id="8"/>
            <w:r>
              <w:rPr>
                <w:rFonts w:ascii="黑体" w:eastAsia="黑体"/>
                <w:spacing w:val="-4"/>
                <w:sz w:val="28"/>
              </w:rPr>
              <w:t>公安部门执法事项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13" w:type="dxa"/>
          </w:tcPr>
          <w:p>
            <w:pPr>
              <w:pStyle w:val="10"/>
              <w:spacing w:before="133"/>
              <w:ind w:left="162" w:right="142"/>
              <w:jc w:val="center"/>
              <w:rPr>
                <w:rFonts w:ascii="黑体" w:eastAsia="黑体"/>
                <w:sz w:val="28"/>
              </w:rPr>
            </w:pPr>
            <w:r>
              <w:rPr>
                <w:rFonts w:ascii="黑体" w:eastAsia="黑体"/>
                <w:spacing w:val="-6"/>
                <w:sz w:val="28"/>
              </w:rPr>
              <w:t>序号</w:t>
            </w:r>
          </w:p>
        </w:tc>
        <w:tc>
          <w:tcPr>
            <w:tcW w:w="1968" w:type="dxa"/>
          </w:tcPr>
          <w:p>
            <w:pPr>
              <w:pStyle w:val="10"/>
              <w:spacing w:before="133"/>
              <w:ind w:left="143"/>
              <w:rPr>
                <w:rFonts w:ascii="黑体" w:eastAsia="黑体"/>
                <w:sz w:val="28"/>
              </w:rPr>
            </w:pPr>
            <w:r>
              <w:rPr>
                <w:rFonts w:ascii="黑体" w:eastAsia="黑体"/>
                <w:spacing w:val="-4"/>
                <w:sz w:val="28"/>
              </w:rPr>
              <w:t>信访投诉事由</w:t>
            </w:r>
          </w:p>
        </w:tc>
        <w:tc>
          <w:tcPr>
            <w:tcW w:w="4406" w:type="dxa"/>
          </w:tcPr>
          <w:p>
            <w:pPr>
              <w:pStyle w:val="10"/>
              <w:spacing w:before="133"/>
              <w:ind w:left="1629" w:right="1612"/>
              <w:jc w:val="center"/>
              <w:rPr>
                <w:rFonts w:ascii="黑体" w:eastAsia="黑体"/>
                <w:sz w:val="28"/>
              </w:rPr>
            </w:pPr>
            <w:r>
              <w:rPr>
                <w:rFonts w:ascii="黑体" w:eastAsia="黑体"/>
                <w:spacing w:val="-4"/>
                <w:sz w:val="28"/>
              </w:rPr>
              <w:t>相关规定</w:t>
            </w:r>
          </w:p>
        </w:tc>
        <w:tc>
          <w:tcPr>
            <w:tcW w:w="5019" w:type="dxa"/>
          </w:tcPr>
          <w:p>
            <w:pPr>
              <w:pStyle w:val="10"/>
              <w:spacing w:before="133"/>
              <w:ind w:left="1937" w:right="1918"/>
              <w:jc w:val="center"/>
              <w:rPr>
                <w:rFonts w:ascii="黑体" w:eastAsia="黑体"/>
                <w:sz w:val="28"/>
              </w:rPr>
            </w:pPr>
            <w:r>
              <w:rPr>
                <w:rFonts w:ascii="黑体" w:eastAsia="黑体"/>
                <w:spacing w:val="-4"/>
                <w:sz w:val="28"/>
              </w:rPr>
              <w:t>处理依据</w:t>
            </w:r>
          </w:p>
        </w:tc>
        <w:tc>
          <w:tcPr>
            <w:tcW w:w="1868" w:type="dxa"/>
          </w:tcPr>
          <w:p>
            <w:pPr>
              <w:pStyle w:val="10"/>
              <w:spacing w:before="133"/>
              <w:ind w:left="362" w:right="342"/>
              <w:jc w:val="center"/>
              <w:rPr>
                <w:rFonts w:ascii="黑体" w:eastAsia="黑体"/>
                <w:sz w:val="28"/>
              </w:rPr>
            </w:pPr>
            <w:r>
              <w:rPr>
                <w:rFonts w:ascii="黑体" w:eastAsia="黑体"/>
                <w:spacing w:val="-4"/>
                <w:sz w:val="28"/>
              </w:rPr>
              <w:t>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7" w:hRule="atLeast"/>
        </w:trPr>
        <w:tc>
          <w:tcPr>
            <w:tcW w:w="913" w:type="dxa"/>
          </w:tcPr>
          <w:p>
            <w:pPr>
              <w:pStyle w:val="10"/>
              <w:rPr>
                <w:rFonts w:ascii="PMingLiU"/>
                <w:sz w:val="32"/>
              </w:rPr>
            </w:pPr>
          </w:p>
          <w:p>
            <w:pPr>
              <w:pStyle w:val="10"/>
              <w:rPr>
                <w:rFonts w:ascii="PMingLiU"/>
                <w:sz w:val="32"/>
              </w:rPr>
            </w:pPr>
          </w:p>
          <w:p>
            <w:pPr>
              <w:pStyle w:val="10"/>
              <w:spacing w:before="248"/>
              <w:ind w:left="16"/>
              <w:jc w:val="center"/>
              <w:rPr>
                <w:rFonts w:ascii="黑体"/>
                <w:sz w:val="32"/>
              </w:rPr>
            </w:pPr>
            <w:r>
              <w:rPr>
                <w:rFonts w:ascii="黑体"/>
                <w:w w:val="99"/>
                <w:sz w:val="32"/>
              </w:rPr>
              <w:t>1</w:t>
            </w:r>
          </w:p>
        </w:tc>
        <w:tc>
          <w:tcPr>
            <w:tcW w:w="1968" w:type="dxa"/>
          </w:tcPr>
          <w:p>
            <w:pPr>
              <w:pStyle w:val="10"/>
              <w:rPr>
                <w:rFonts w:ascii="PMingLiU"/>
                <w:sz w:val="24"/>
              </w:rPr>
            </w:pPr>
          </w:p>
          <w:p>
            <w:pPr>
              <w:pStyle w:val="10"/>
              <w:rPr>
                <w:rFonts w:ascii="PMingLiU"/>
                <w:sz w:val="24"/>
              </w:rPr>
            </w:pPr>
          </w:p>
          <w:p>
            <w:pPr>
              <w:pStyle w:val="10"/>
              <w:spacing w:before="7"/>
              <w:rPr>
                <w:rFonts w:ascii="PMingLiU"/>
                <w:sz w:val="25"/>
              </w:rPr>
            </w:pPr>
          </w:p>
          <w:p>
            <w:pPr>
              <w:pStyle w:val="10"/>
              <w:spacing w:before="1" w:line="312" w:lineRule="auto"/>
              <w:ind w:left="107" w:right="86"/>
              <w:rPr>
                <w:sz w:val="24"/>
              </w:rPr>
            </w:pPr>
            <w:r>
              <w:rPr>
                <w:spacing w:val="8"/>
                <w:sz w:val="24"/>
              </w:rPr>
              <w:t>饲养动物影响他</w:t>
            </w:r>
            <w:r>
              <w:rPr>
                <w:spacing w:val="-2"/>
                <w:sz w:val="24"/>
              </w:rPr>
              <w:t>人正常生活</w:t>
            </w:r>
          </w:p>
        </w:tc>
        <w:tc>
          <w:tcPr>
            <w:tcW w:w="4406" w:type="dxa"/>
          </w:tcPr>
          <w:p>
            <w:pPr>
              <w:pStyle w:val="10"/>
              <w:rPr>
                <w:rFonts w:ascii="Times New Roman"/>
                <w:sz w:val="24"/>
              </w:rPr>
            </w:pPr>
          </w:p>
        </w:tc>
        <w:tc>
          <w:tcPr>
            <w:tcW w:w="5019" w:type="dxa"/>
          </w:tcPr>
          <w:p>
            <w:pPr>
              <w:pStyle w:val="10"/>
              <w:spacing w:before="5"/>
              <w:rPr>
                <w:rFonts w:ascii="PMingLiU"/>
                <w:sz w:val="16"/>
              </w:rPr>
            </w:pPr>
          </w:p>
          <w:p>
            <w:pPr>
              <w:pStyle w:val="10"/>
              <w:spacing w:before="1" w:line="312" w:lineRule="auto"/>
              <w:ind w:left="108" w:right="-44"/>
              <w:rPr>
                <w:sz w:val="24"/>
              </w:rPr>
            </w:pPr>
            <w:r>
              <w:rPr>
                <w:spacing w:val="-2"/>
                <w:sz w:val="24"/>
              </w:rPr>
              <w:t>《中华人民共和国治安管理处罚法》第七十五</w:t>
            </w:r>
            <w:r>
              <w:rPr>
                <w:spacing w:val="-6"/>
                <w:sz w:val="24"/>
              </w:rPr>
              <w:t>条：饲养动物，干扰他人正常生活的，处警告；</w:t>
            </w:r>
            <w:r>
              <w:rPr>
                <w:spacing w:val="-2"/>
                <w:sz w:val="24"/>
              </w:rPr>
              <w:t>警告后不改正的，或者放任动物恐吓他人的，处二百元以上五百元以下罚款。</w:t>
            </w:r>
          </w:p>
          <w:p>
            <w:pPr>
              <w:pStyle w:val="10"/>
              <w:spacing w:before="1" w:line="312" w:lineRule="auto"/>
              <w:ind w:left="108" w:right="86" w:firstLine="480"/>
              <w:rPr>
                <w:sz w:val="24"/>
              </w:rPr>
            </w:pPr>
            <w:r>
              <w:rPr>
                <w:spacing w:val="-2"/>
                <w:sz w:val="24"/>
              </w:rPr>
              <w:t>驱使动物伤害他人的，依照本法第四十三条第一款的规定处罚。</w:t>
            </w:r>
          </w:p>
        </w:tc>
        <w:tc>
          <w:tcPr>
            <w:tcW w:w="1868"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3"/>
              <w:rPr>
                <w:rFonts w:ascii="PMingLiU"/>
                <w:sz w:val="15"/>
              </w:rPr>
            </w:pPr>
          </w:p>
          <w:p>
            <w:pPr>
              <w:pStyle w:val="10"/>
              <w:ind w:left="360" w:right="342"/>
              <w:jc w:val="center"/>
              <w:rPr>
                <w:sz w:val="24"/>
              </w:rPr>
            </w:pPr>
            <w:r>
              <w:rPr>
                <w:spacing w:val="-3"/>
                <w:sz w:val="24"/>
              </w:rPr>
              <w:t>公安部门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7"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0"/>
              </w:rPr>
            </w:pPr>
          </w:p>
          <w:p>
            <w:pPr>
              <w:pStyle w:val="10"/>
              <w:ind w:left="16"/>
              <w:jc w:val="center"/>
              <w:rPr>
                <w:rFonts w:ascii="黑体"/>
                <w:sz w:val="32"/>
              </w:rPr>
            </w:pPr>
            <w:r>
              <w:rPr>
                <w:rFonts w:ascii="黑体"/>
                <w:w w:val="99"/>
                <w:sz w:val="32"/>
              </w:rPr>
              <w:t>2</w:t>
            </w:r>
          </w:p>
        </w:tc>
        <w:tc>
          <w:tcPr>
            <w:tcW w:w="1968"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5"/>
              <w:rPr>
                <w:rFonts w:ascii="PMingLiU"/>
                <w:sz w:val="31"/>
              </w:rPr>
            </w:pPr>
          </w:p>
          <w:p>
            <w:pPr>
              <w:pStyle w:val="10"/>
              <w:spacing w:before="1" w:line="312" w:lineRule="auto"/>
              <w:ind w:left="107" w:right="86"/>
              <w:jc w:val="both"/>
              <w:rPr>
                <w:sz w:val="24"/>
              </w:rPr>
            </w:pPr>
            <w:r>
              <w:rPr>
                <w:spacing w:val="8"/>
                <w:sz w:val="24"/>
              </w:rPr>
              <w:t>承租人利用出租房屋进行犯罪活</w:t>
            </w:r>
            <w:r>
              <w:rPr>
                <w:spacing w:val="-10"/>
                <w:sz w:val="24"/>
              </w:rPr>
              <w:t>动</w:t>
            </w:r>
          </w:p>
        </w:tc>
        <w:tc>
          <w:tcPr>
            <w:tcW w:w="4406" w:type="dxa"/>
          </w:tcPr>
          <w:p>
            <w:pPr>
              <w:pStyle w:val="10"/>
              <w:rPr>
                <w:rFonts w:ascii="Times New Roman"/>
                <w:sz w:val="24"/>
              </w:rPr>
            </w:pPr>
          </w:p>
        </w:tc>
        <w:tc>
          <w:tcPr>
            <w:tcW w:w="5019" w:type="dxa"/>
          </w:tcPr>
          <w:p>
            <w:pPr>
              <w:pStyle w:val="10"/>
              <w:spacing w:before="8"/>
              <w:rPr>
                <w:rFonts w:ascii="PMingLiU"/>
                <w:sz w:val="17"/>
              </w:rPr>
            </w:pPr>
          </w:p>
          <w:p>
            <w:pPr>
              <w:pStyle w:val="10"/>
              <w:spacing w:line="312" w:lineRule="auto"/>
              <w:ind w:left="108" w:right="86"/>
              <w:jc w:val="both"/>
              <w:rPr>
                <w:sz w:val="24"/>
              </w:rPr>
            </w:pPr>
            <w:r>
              <w:rPr>
                <w:spacing w:val="-2"/>
                <w:sz w:val="24"/>
              </w:rPr>
              <w:t>《中华人民共和国治安管理处罚法》第五十七条：房屋出租人将房屋出租给无身份证件的人居住的，或者不按规定登记承租人姓名、身份证件种类和号码的，处二百元以上五百元以下</w:t>
            </w:r>
            <w:r>
              <w:rPr>
                <w:spacing w:val="-4"/>
                <w:sz w:val="24"/>
              </w:rPr>
              <w:t>罚款。</w:t>
            </w:r>
          </w:p>
          <w:p>
            <w:pPr>
              <w:pStyle w:val="10"/>
              <w:spacing w:before="1" w:line="312" w:lineRule="auto"/>
              <w:ind w:left="108" w:right="86" w:firstLine="480"/>
              <w:jc w:val="both"/>
              <w:rPr>
                <w:sz w:val="24"/>
              </w:rPr>
            </w:pPr>
            <w:r>
              <w:rPr>
                <w:spacing w:val="-2"/>
                <w:sz w:val="24"/>
              </w:rPr>
              <w:t>房屋出租人明知承租人利用出租房屋进行犯罪活动，不向公安机关报告的，处二百元以上五百元以下罚款；情节严重的，处五日以下拘留，可以并处五百元以下罚款。</w:t>
            </w:r>
          </w:p>
        </w:tc>
        <w:tc>
          <w:tcPr>
            <w:tcW w:w="1868"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69"/>
              <w:ind w:left="360" w:right="342"/>
              <w:jc w:val="center"/>
              <w:rPr>
                <w:sz w:val="24"/>
              </w:rPr>
            </w:pPr>
            <w:r>
              <w:rPr>
                <w:spacing w:val="-3"/>
                <w:sz w:val="24"/>
              </w:rPr>
              <w:t>公安部门</w:t>
            </w:r>
          </w:p>
        </w:tc>
      </w:tr>
    </w:tbl>
    <w:p>
      <w:pPr>
        <w:spacing w:after="0"/>
        <w:jc w:val="center"/>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1968"/>
        <w:gridCol w:w="4406"/>
        <w:gridCol w:w="5019"/>
        <w:gridCol w:w="18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0"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253"/>
              <w:ind w:left="16"/>
              <w:jc w:val="center"/>
              <w:rPr>
                <w:rFonts w:ascii="黑体"/>
                <w:sz w:val="32"/>
              </w:rPr>
            </w:pPr>
            <w:r>
              <w:rPr>
                <w:rFonts w:ascii="黑体"/>
                <w:w w:val="99"/>
                <w:sz w:val="32"/>
              </w:rPr>
              <w:t>3</w:t>
            </w:r>
          </w:p>
        </w:tc>
        <w:tc>
          <w:tcPr>
            <w:tcW w:w="1968"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
              <w:rPr>
                <w:rFonts w:ascii="PMingLiU"/>
                <w:sz w:val="24"/>
              </w:rPr>
            </w:pPr>
          </w:p>
          <w:p>
            <w:pPr>
              <w:pStyle w:val="10"/>
              <w:ind w:left="107"/>
              <w:rPr>
                <w:sz w:val="24"/>
              </w:rPr>
            </w:pPr>
            <w:r>
              <w:rPr>
                <w:spacing w:val="-3"/>
                <w:sz w:val="24"/>
              </w:rPr>
              <w:t>高空抛物</w:t>
            </w:r>
          </w:p>
        </w:tc>
        <w:tc>
          <w:tcPr>
            <w:tcW w:w="4406" w:type="dxa"/>
          </w:tcPr>
          <w:p>
            <w:pPr>
              <w:pStyle w:val="10"/>
              <w:spacing w:before="82" w:line="312" w:lineRule="auto"/>
              <w:ind w:left="107" w:right="85"/>
              <w:jc w:val="both"/>
              <w:rPr>
                <w:sz w:val="24"/>
              </w:rPr>
            </w:pPr>
            <w:r>
              <w:rPr>
                <w:spacing w:val="-2"/>
                <w:sz w:val="24"/>
              </w:rPr>
              <w:t>《中华人民共和国民法典》第一千二百五十四条第一款：禁止从建筑物中抛掷物品。从建筑物中抛掷物品或者从建筑物上坠落的物品造成他人损害的，由侵</w:t>
            </w:r>
            <w:r>
              <w:rPr>
                <w:spacing w:val="11"/>
                <w:sz w:val="24"/>
              </w:rPr>
              <w:t>权人依法承担侵权责任;经调查难以确</w:t>
            </w:r>
            <w:r>
              <w:rPr>
                <w:spacing w:val="-2"/>
                <w:sz w:val="24"/>
              </w:rPr>
              <w:t>定具体侵权人的，除能够证明自己不是侵权人的外，由可能加害的建筑物使用</w:t>
            </w:r>
            <w:r>
              <w:rPr>
                <w:spacing w:val="-1"/>
                <w:sz w:val="24"/>
              </w:rPr>
              <w:t>人给予补偿。可能加害的建筑物使用人</w:t>
            </w:r>
          </w:p>
          <w:p>
            <w:pPr>
              <w:pStyle w:val="10"/>
              <w:spacing w:before="1" w:line="298" w:lineRule="exact"/>
              <w:ind w:left="107"/>
              <w:rPr>
                <w:sz w:val="24"/>
              </w:rPr>
            </w:pPr>
            <w:r>
              <w:rPr>
                <w:spacing w:val="-1"/>
                <w:sz w:val="24"/>
              </w:rPr>
              <w:t>补偿后，有权向侵权人追偿。</w:t>
            </w:r>
          </w:p>
        </w:tc>
        <w:tc>
          <w:tcPr>
            <w:tcW w:w="501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19"/>
              </w:rPr>
            </w:pPr>
          </w:p>
          <w:p>
            <w:pPr>
              <w:pStyle w:val="10"/>
              <w:spacing w:before="1" w:line="312" w:lineRule="auto"/>
              <w:ind w:left="108" w:right="86"/>
              <w:jc w:val="both"/>
              <w:rPr>
                <w:sz w:val="24"/>
              </w:rPr>
            </w:pPr>
            <w:r>
              <w:rPr>
                <w:spacing w:val="-2"/>
                <w:sz w:val="24"/>
              </w:rPr>
              <w:t>《中华人民共和国民法典》第一千二百五十四条第三款：发生本条第一款规定的情形的，公安等机关应当依法及时调查，查清责任人。</w:t>
            </w:r>
          </w:p>
        </w:tc>
        <w:tc>
          <w:tcPr>
            <w:tcW w:w="1868"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
              <w:rPr>
                <w:rFonts w:ascii="PMingLiU"/>
                <w:sz w:val="24"/>
              </w:rPr>
            </w:pPr>
          </w:p>
          <w:p>
            <w:pPr>
              <w:pStyle w:val="10"/>
              <w:ind w:right="432"/>
              <w:jc w:val="right"/>
              <w:rPr>
                <w:sz w:val="24"/>
              </w:rPr>
            </w:pPr>
            <w:r>
              <w:rPr>
                <w:spacing w:val="-3"/>
                <w:sz w:val="24"/>
              </w:rPr>
              <w:t>公安部门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0" w:hRule="atLeast"/>
        </w:trPr>
        <w:tc>
          <w:tcPr>
            <w:tcW w:w="913" w:type="dxa"/>
          </w:tcPr>
          <w:p>
            <w:pPr>
              <w:pStyle w:val="10"/>
              <w:rPr>
                <w:rFonts w:ascii="PMingLiU"/>
                <w:sz w:val="32"/>
              </w:rPr>
            </w:pPr>
          </w:p>
          <w:p>
            <w:pPr>
              <w:pStyle w:val="10"/>
              <w:spacing w:before="2"/>
              <w:rPr>
                <w:rFonts w:ascii="PMingLiU"/>
                <w:sz w:val="39"/>
              </w:rPr>
            </w:pPr>
          </w:p>
          <w:p>
            <w:pPr>
              <w:pStyle w:val="10"/>
              <w:ind w:left="16"/>
              <w:jc w:val="center"/>
              <w:rPr>
                <w:rFonts w:ascii="黑体"/>
                <w:sz w:val="32"/>
              </w:rPr>
            </w:pPr>
            <w:r>
              <w:rPr>
                <w:rFonts w:ascii="黑体"/>
                <w:w w:val="99"/>
                <w:sz w:val="32"/>
              </w:rPr>
              <w:t>4</w:t>
            </w:r>
          </w:p>
        </w:tc>
        <w:tc>
          <w:tcPr>
            <w:tcW w:w="1968" w:type="dxa"/>
          </w:tcPr>
          <w:p>
            <w:pPr>
              <w:pStyle w:val="10"/>
              <w:rPr>
                <w:rFonts w:ascii="PMingLiU"/>
                <w:sz w:val="24"/>
              </w:rPr>
            </w:pPr>
          </w:p>
          <w:p>
            <w:pPr>
              <w:pStyle w:val="10"/>
              <w:rPr>
                <w:rFonts w:ascii="PMingLiU"/>
                <w:sz w:val="24"/>
              </w:rPr>
            </w:pPr>
          </w:p>
          <w:p>
            <w:pPr>
              <w:pStyle w:val="10"/>
              <w:spacing w:before="5"/>
              <w:rPr>
                <w:rFonts w:ascii="PMingLiU"/>
                <w:sz w:val="29"/>
              </w:rPr>
            </w:pPr>
          </w:p>
          <w:p>
            <w:pPr>
              <w:pStyle w:val="10"/>
              <w:ind w:left="107"/>
              <w:rPr>
                <w:sz w:val="24"/>
              </w:rPr>
            </w:pPr>
            <w:r>
              <w:rPr>
                <w:spacing w:val="-2"/>
                <w:sz w:val="24"/>
              </w:rPr>
              <w:t>燃放烟花爆竹</w:t>
            </w:r>
          </w:p>
        </w:tc>
        <w:tc>
          <w:tcPr>
            <w:tcW w:w="4406" w:type="dxa"/>
          </w:tcPr>
          <w:p>
            <w:pPr>
              <w:pStyle w:val="10"/>
              <w:spacing w:before="81" w:line="312" w:lineRule="auto"/>
              <w:ind w:left="107" w:right="-44"/>
              <w:rPr>
                <w:sz w:val="24"/>
              </w:rPr>
            </w:pPr>
            <w:r>
              <w:rPr>
                <w:spacing w:val="-1"/>
                <w:sz w:val="24"/>
              </w:rPr>
              <w:t>《烟花爆竹安全管理条例》第二十八条：</w:t>
            </w:r>
            <w:r>
              <w:rPr>
                <w:spacing w:val="4"/>
                <w:sz w:val="24"/>
              </w:rPr>
              <w:t>燃放烟花爆竹，应当遵守有关法律、法规和规章的规定。县级以上地方人民政府可以根据本行政区域的实际情况，确定限制或者禁止燃放烟花爆竹的时间、</w:t>
            </w:r>
          </w:p>
          <w:p>
            <w:pPr>
              <w:pStyle w:val="10"/>
              <w:spacing w:before="1" w:line="299" w:lineRule="exact"/>
              <w:ind w:left="107"/>
              <w:rPr>
                <w:sz w:val="24"/>
              </w:rPr>
            </w:pPr>
            <w:r>
              <w:rPr>
                <w:spacing w:val="-2"/>
                <w:sz w:val="24"/>
              </w:rPr>
              <w:t>地点和种类。</w:t>
            </w:r>
          </w:p>
        </w:tc>
        <w:tc>
          <w:tcPr>
            <w:tcW w:w="5019" w:type="dxa"/>
          </w:tcPr>
          <w:p>
            <w:pPr>
              <w:pStyle w:val="10"/>
              <w:spacing w:before="81" w:line="312" w:lineRule="auto"/>
              <w:ind w:left="108" w:right="-44"/>
              <w:rPr>
                <w:sz w:val="24"/>
              </w:rPr>
            </w:pPr>
            <w:r>
              <w:rPr>
                <w:spacing w:val="-12"/>
                <w:sz w:val="24"/>
              </w:rPr>
              <w:t>《烟花爆竹安全管理条例》第四十二条第二款：</w:t>
            </w:r>
            <w:r>
              <w:rPr>
                <w:spacing w:val="-2"/>
                <w:sz w:val="24"/>
              </w:rPr>
              <w:t>在禁止燃放烟花爆竹的时间、地点燃放烟花爆竹，或者以危害公共安全和人身、财产安全的方式燃放烟花爆竹的，由公安部门责令停止燃</w:t>
            </w:r>
            <w:r>
              <w:rPr>
                <w:spacing w:val="-10"/>
                <w:sz w:val="24"/>
              </w:rPr>
              <w:t xml:space="preserve">放，处 </w:t>
            </w:r>
            <w:r>
              <w:rPr>
                <w:sz w:val="24"/>
              </w:rPr>
              <w:t>100</w:t>
            </w:r>
            <w:r>
              <w:rPr>
                <w:spacing w:val="-16"/>
                <w:sz w:val="24"/>
              </w:rPr>
              <w:t xml:space="preserve"> 元以上 </w:t>
            </w:r>
            <w:r>
              <w:rPr>
                <w:sz w:val="24"/>
              </w:rPr>
              <w:t>500</w:t>
            </w:r>
            <w:r>
              <w:rPr>
                <w:spacing w:val="-6"/>
                <w:sz w:val="24"/>
              </w:rPr>
              <w:t xml:space="preserve"> 元以下的罚款；构成违</w:t>
            </w:r>
          </w:p>
          <w:p>
            <w:pPr>
              <w:pStyle w:val="10"/>
              <w:spacing w:before="1" w:line="299" w:lineRule="exact"/>
              <w:ind w:left="108"/>
              <w:rPr>
                <w:sz w:val="24"/>
              </w:rPr>
            </w:pPr>
            <w:r>
              <w:rPr>
                <w:spacing w:val="-1"/>
                <w:sz w:val="24"/>
              </w:rPr>
              <w:t>反治安管理行为的，依法给予治安管理处罚。</w:t>
            </w:r>
          </w:p>
        </w:tc>
        <w:tc>
          <w:tcPr>
            <w:tcW w:w="1868" w:type="dxa"/>
          </w:tcPr>
          <w:p>
            <w:pPr>
              <w:pStyle w:val="10"/>
              <w:rPr>
                <w:rFonts w:ascii="PMingLiU"/>
                <w:sz w:val="24"/>
              </w:rPr>
            </w:pPr>
          </w:p>
          <w:p>
            <w:pPr>
              <w:pStyle w:val="10"/>
              <w:rPr>
                <w:rFonts w:ascii="PMingLiU"/>
                <w:sz w:val="24"/>
              </w:rPr>
            </w:pPr>
          </w:p>
          <w:p>
            <w:pPr>
              <w:pStyle w:val="10"/>
              <w:spacing w:before="5"/>
              <w:rPr>
                <w:rFonts w:ascii="PMingLiU"/>
                <w:sz w:val="29"/>
              </w:rPr>
            </w:pPr>
          </w:p>
          <w:p>
            <w:pPr>
              <w:pStyle w:val="10"/>
              <w:ind w:right="432"/>
              <w:jc w:val="right"/>
              <w:rPr>
                <w:sz w:val="24"/>
              </w:rPr>
            </w:pPr>
            <w:r>
              <w:rPr>
                <w:spacing w:val="-3"/>
                <w:sz w:val="24"/>
              </w:rPr>
              <w:t>公安部门</w:t>
            </w:r>
          </w:p>
        </w:tc>
      </w:tr>
    </w:tbl>
    <w:p>
      <w:pPr>
        <w:spacing w:after="0"/>
        <w:jc w:val="right"/>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854"/>
        <w:gridCol w:w="4645"/>
        <w:gridCol w:w="3919"/>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4174" w:type="dxa"/>
            <w:gridSpan w:val="5"/>
          </w:tcPr>
          <w:p>
            <w:pPr>
              <w:pStyle w:val="10"/>
              <w:spacing w:before="133"/>
              <w:ind w:left="5681" w:right="5662"/>
              <w:jc w:val="center"/>
              <w:rPr>
                <w:rFonts w:ascii="黑体" w:eastAsia="黑体"/>
                <w:sz w:val="28"/>
              </w:rPr>
            </w:pPr>
            <w:bookmarkStart w:id="9" w:name="消防救援机构执法事项"/>
            <w:bookmarkEnd w:id="9"/>
            <w:bookmarkStart w:id="10" w:name="_bookmark3"/>
            <w:bookmarkEnd w:id="10"/>
            <w:r>
              <w:rPr>
                <w:rFonts w:ascii="黑体" w:eastAsia="黑体"/>
                <w:spacing w:val="-3"/>
                <w:sz w:val="28"/>
              </w:rPr>
              <w:t>消防救援机构执法事项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3" w:hRule="atLeast"/>
        </w:trPr>
        <w:tc>
          <w:tcPr>
            <w:tcW w:w="913" w:type="dxa"/>
          </w:tcPr>
          <w:p>
            <w:pPr>
              <w:pStyle w:val="10"/>
              <w:spacing w:before="199"/>
              <w:ind w:left="162" w:right="142"/>
              <w:jc w:val="center"/>
              <w:rPr>
                <w:rFonts w:ascii="黑体" w:eastAsia="黑体"/>
                <w:sz w:val="28"/>
              </w:rPr>
            </w:pPr>
            <w:r>
              <w:rPr>
                <w:rFonts w:ascii="黑体" w:eastAsia="黑体"/>
                <w:spacing w:val="-6"/>
                <w:sz w:val="28"/>
              </w:rPr>
              <w:t>序号</w:t>
            </w:r>
          </w:p>
        </w:tc>
        <w:tc>
          <w:tcPr>
            <w:tcW w:w="2854" w:type="dxa"/>
          </w:tcPr>
          <w:p>
            <w:pPr>
              <w:pStyle w:val="10"/>
              <w:spacing w:before="199"/>
              <w:ind w:left="866"/>
              <w:rPr>
                <w:rFonts w:ascii="黑体" w:eastAsia="黑体"/>
                <w:sz w:val="28"/>
              </w:rPr>
            </w:pPr>
            <w:r>
              <w:rPr>
                <w:rFonts w:ascii="黑体" w:eastAsia="黑体"/>
                <w:spacing w:val="-4"/>
                <w:sz w:val="28"/>
              </w:rPr>
              <w:t>违法事由</w:t>
            </w:r>
          </w:p>
        </w:tc>
        <w:tc>
          <w:tcPr>
            <w:tcW w:w="4645" w:type="dxa"/>
          </w:tcPr>
          <w:p>
            <w:pPr>
              <w:pStyle w:val="10"/>
              <w:spacing w:before="199"/>
              <w:ind w:left="1749" w:right="1732"/>
              <w:jc w:val="center"/>
              <w:rPr>
                <w:rFonts w:ascii="黑体" w:eastAsia="黑体"/>
                <w:sz w:val="28"/>
              </w:rPr>
            </w:pPr>
            <w:r>
              <w:rPr>
                <w:rFonts w:ascii="黑体" w:eastAsia="黑体"/>
                <w:spacing w:val="-4"/>
                <w:sz w:val="28"/>
              </w:rPr>
              <w:t>相关规定</w:t>
            </w:r>
          </w:p>
        </w:tc>
        <w:tc>
          <w:tcPr>
            <w:tcW w:w="3919" w:type="dxa"/>
          </w:tcPr>
          <w:p>
            <w:pPr>
              <w:pStyle w:val="10"/>
              <w:spacing w:before="199"/>
              <w:ind w:left="1386" w:right="1369"/>
              <w:jc w:val="center"/>
              <w:rPr>
                <w:rFonts w:ascii="黑体" w:eastAsia="黑体"/>
                <w:sz w:val="28"/>
              </w:rPr>
            </w:pPr>
            <w:r>
              <w:rPr>
                <w:rFonts w:ascii="黑体" w:eastAsia="黑体"/>
                <w:spacing w:val="-4"/>
                <w:sz w:val="28"/>
              </w:rPr>
              <w:t>处罚依据</w:t>
            </w:r>
          </w:p>
        </w:tc>
        <w:tc>
          <w:tcPr>
            <w:tcW w:w="1843" w:type="dxa"/>
          </w:tcPr>
          <w:p>
            <w:pPr>
              <w:pStyle w:val="10"/>
              <w:spacing w:before="199"/>
              <w:ind w:left="360"/>
              <w:rPr>
                <w:rFonts w:ascii="黑体" w:eastAsia="黑体"/>
                <w:sz w:val="28"/>
              </w:rPr>
            </w:pPr>
            <w:r>
              <w:rPr>
                <w:rFonts w:ascii="黑体" w:eastAsia="黑体"/>
                <w:spacing w:val="-4"/>
                <w:sz w:val="28"/>
              </w:rPr>
              <w:t>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14" w:hRule="atLeast"/>
        </w:trPr>
        <w:tc>
          <w:tcPr>
            <w:tcW w:w="913" w:type="dxa"/>
          </w:tcPr>
          <w:p>
            <w:pPr>
              <w:pStyle w:val="10"/>
              <w:rPr>
                <w:rFonts w:ascii="PMingLiU"/>
                <w:sz w:val="32"/>
              </w:rPr>
            </w:pPr>
          </w:p>
          <w:p>
            <w:pPr>
              <w:pStyle w:val="10"/>
              <w:spacing w:before="4"/>
              <w:rPr>
                <w:rFonts w:ascii="PMingLiU"/>
                <w:sz w:val="43"/>
              </w:rPr>
            </w:pPr>
          </w:p>
          <w:p>
            <w:pPr>
              <w:pStyle w:val="10"/>
              <w:ind w:left="16"/>
              <w:jc w:val="center"/>
              <w:rPr>
                <w:rFonts w:ascii="黑体"/>
                <w:sz w:val="32"/>
              </w:rPr>
            </w:pPr>
            <w:r>
              <w:rPr>
                <w:rFonts w:ascii="黑体"/>
                <w:w w:val="99"/>
                <w:sz w:val="32"/>
              </w:rPr>
              <w:t>1</w:t>
            </w:r>
          </w:p>
        </w:tc>
        <w:tc>
          <w:tcPr>
            <w:tcW w:w="2854" w:type="dxa"/>
          </w:tcPr>
          <w:p>
            <w:pPr>
              <w:pStyle w:val="10"/>
              <w:rPr>
                <w:rFonts w:ascii="PMingLiU"/>
                <w:sz w:val="24"/>
              </w:rPr>
            </w:pPr>
          </w:p>
          <w:p>
            <w:pPr>
              <w:pStyle w:val="10"/>
              <w:spacing w:before="202" w:line="312" w:lineRule="auto"/>
              <w:ind w:left="107" w:right="86"/>
              <w:jc w:val="both"/>
              <w:rPr>
                <w:sz w:val="24"/>
              </w:rPr>
            </w:pPr>
            <w:r>
              <w:rPr>
                <w:spacing w:val="-2"/>
                <w:sz w:val="24"/>
              </w:rPr>
              <w:t>消防设施、器材、消防安</w:t>
            </w:r>
            <w:r>
              <w:rPr>
                <w:spacing w:val="4"/>
                <w:sz w:val="24"/>
              </w:rPr>
              <w:t>全 标志配置、设置不符</w:t>
            </w:r>
            <w:r>
              <w:rPr>
                <w:spacing w:val="21"/>
                <w:sz w:val="24"/>
              </w:rPr>
              <w:t>合标准或者未保持完好</w:t>
            </w:r>
            <w:r>
              <w:rPr>
                <w:spacing w:val="-6"/>
                <w:sz w:val="24"/>
              </w:rPr>
              <w:t>有效</w:t>
            </w:r>
          </w:p>
        </w:tc>
        <w:tc>
          <w:tcPr>
            <w:tcW w:w="4645" w:type="dxa"/>
          </w:tcPr>
          <w:p>
            <w:pPr>
              <w:pStyle w:val="10"/>
              <w:spacing w:before="2"/>
              <w:rPr>
                <w:rFonts w:ascii="PMingLiU"/>
                <w:sz w:val="24"/>
              </w:rPr>
            </w:pPr>
          </w:p>
          <w:p>
            <w:pPr>
              <w:pStyle w:val="10"/>
              <w:spacing w:before="1" w:line="312" w:lineRule="auto"/>
              <w:ind w:left="107" w:right="-44"/>
              <w:rPr>
                <w:sz w:val="24"/>
              </w:rPr>
            </w:pPr>
            <w:r>
              <w:rPr>
                <w:spacing w:val="3"/>
                <w:sz w:val="24"/>
              </w:rPr>
              <w:t>《中华人民共和国消防法》第十六条第一</w:t>
            </w:r>
            <w:r>
              <w:rPr>
                <w:spacing w:val="5"/>
                <w:sz w:val="24"/>
              </w:rPr>
              <w:t>款第</w:t>
            </w:r>
            <w:r>
              <w:rPr>
                <w:spacing w:val="7"/>
                <w:sz w:val="24"/>
              </w:rPr>
              <w:t>（二</w:t>
            </w:r>
            <w:r>
              <w:rPr>
                <w:spacing w:val="4"/>
                <w:sz w:val="24"/>
              </w:rPr>
              <w:t>）</w:t>
            </w:r>
            <w:r>
              <w:rPr>
                <w:spacing w:val="3"/>
                <w:sz w:val="24"/>
              </w:rPr>
              <w:t>项：按照国家标准、行业标准</w:t>
            </w:r>
            <w:r>
              <w:rPr>
                <w:spacing w:val="-1"/>
                <w:sz w:val="24"/>
              </w:rPr>
              <w:t>配置消防设施、器材，设置消防安全标志，并定期组织检验、维修，确保完好有效。</w:t>
            </w:r>
          </w:p>
        </w:tc>
        <w:tc>
          <w:tcPr>
            <w:tcW w:w="3919" w:type="dxa"/>
          </w:tcPr>
          <w:p>
            <w:pPr>
              <w:pStyle w:val="10"/>
              <w:rPr>
                <w:rFonts w:ascii="PMingLiU"/>
                <w:sz w:val="24"/>
              </w:rPr>
            </w:pPr>
          </w:p>
          <w:p>
            <w:pPr>
              <w:pStyle w:val="10"/>
              <w:spacing w:before="12"/>
              <w:rPr>
                <w:rFonts w:ascii="PMingLiU"/>
                <w:sz w:val="28"/>
              </w:rPr>
            </w:pPr>
          </w:p>
          <w:p>
            <w:pPr>
              <w:pStyle w:val="10"/>
              <w:spacing w:line="312" w:lineRule="auto"/>
              <w:ind w:left="106" w:right="87"/>
              <w:rPr>
                <w:sz w:val="24"/>
              </w:rPr>
            </w:pPr>
            <w:r>
              <w:rPr>
                <w:spacing w:val="-2"/>
                <w:sz w:val="24"/>
              </w:rPr>
              <w:t>《中华人民共和国消防法》第六十条第一款第(一)项</w:t>
            </w:r>
          </w:p>
        </w:tc>
        <w:tc>
          <w:tcPr>
            <w:tcW w:w="1843" w:type="dxa"/>
          </w:tcPr>
          <w:p>
            <w:pPr>
              <w:pStyle w:val="10"/>
              <w:rPr>
                <w:rFonts w:ascii="PMingLiU"/>
                <w:sz w:val="24"/>
              </w:rPr>
            </w:pPr>
          </w:p>
          <w:p>
            <w:pPr>
              <w:pStyle w:val="10"/>
              <w:rPr>
                <w:rFonts w:ascii="PMingLiU"/>
                <w:sz w:val="24"/>
              </w:rPr>
            </w:pPr>
          </w:p>
          <w:p>
            <w:pPr>
              <w:pStyle w:val="10"/>
              <w:spacing w:before="1"/>
              <w:rPr>
                <w:rFonts w:ascii="PMingLiU"/>
                <w:sz w:val="19"/>
              </w:rPr>
            </w:pPr>
          </w:p>
          <w:p>
            <w:pPr>
              <w:pStyle w:val="10"/>
              <w:spacing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1"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5"/>
              <w:rPr>
                <w:rFonts w:ascii="PMingLiU"/>
                <w:sz w:val="39"/>
              </w:rPr>
            </w:pPr>
          </w:p>
          <w:p>
            <w:pPr>
              <w:pStyle w:val="10"/>
              <w:ind w:left="16"/>
              <w:jc w:val="center"/>
              <w:rPr>
                <w:rFonts w:ascii="黑体"/>
                <w:sz w:val="32"/>
              </w:rPr>
            </w:pPr>
            <w:r>
              <w:rPr>
                <w:rFonts w:ascii="黑体"/>
                <w:w w:val="99"/>
                <w:sz w:val="32"/>
              </w:rPr>
              <w:t>2</w:t>
            </w:r>
          </w:p>
        </w:tc>
        <w:tc>
          <w:tcPr>
            <w:tcW w:w="2854"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1"/>
              <w:rPr>
                <w:rFonts w:ascii="PMingLiU"/>
                <w:sz w:val="16"/>
              </w:rPr>
            </w:pPr>
          </w:p>
          <w:p>
            <w:pPr>
              <w:pStyle w:val="10"/>
              <w:spacing w:line="312" w:lineRule="auto"/>
              <w:ind w:left="107" w:right="86"/>
              <w:rPr>
                <w:sz w:val="24"/>
              </w:rPr>
            </w:pPr>
            <w:r>
              <w:rPr>
                <w:spacing w:val="-2"/>
                <w:sz w:val="24"/>
              </w:rPr>
              <w:t>停用、损坏、挪用或者拆除消防设施、器材</w:t>
            </w:r>
          </w:p>
        </w:tc>
        <w:tc>
          <w:tcPr>
            <w:tcW w:w="4645" w:type="dxa"/>
          </w:tcPr>
          <w:p>
            <w:pPr>
              <w:pStyle w:val="10"/>
              <w:rPr>
                <w:rFonts w:ascii="PMingLiU"/>
                <w:sz w:val="24"/>
              </w:rPr>
            </w:pPr>
          </w:p>
          <w:p>
            <w:pPr>
              <w:pStyle w:val="10"/>
              <w:spacing w:before="9"/>
              <w:rPr>
                <w:rFonts w:ascii="PMingLiU"/>
                <w:sz w:val="31"/>
              </w:rPr>
            </w:pPr>
          </w:p>
          <w:p>
            <w:pPr>
              <w:pStyle w:val="10"/>
              <w:spacing w:line="312" w:lineRule="auto"/>
              <w:ind w:left="107" w:right="-44"/>
              <w:rPr>
                <w:sz w:val="24"/>
              </w:rPr>
            </w:pPr>
            <w:r>
              <w:rPr>
                <w:spacing w:val="3"/>
                <w:sz w:val="24"/>
              </w:rPr>
              <w:t>《中华人民共和国消防法》第二十八条：任何单位、个人不得损坏、挪用或者擅自拆除、停用消防设施、器材，不得埋压、圈占、遮挡消火栓或者占用防火间距，不</w:t>
            </w:r>
            <w:r>
              <w:rPr>
                <w:spacing w:val="-2"/>
                <w:sz w:val="24"/>
              </w:rPr>
              <w:t>得占用、堵塞、封闭疏散通道、安全出口、</w:t>
            </w:r>
            <w:r>
              <w:rPr>
                <w:spacing w:val="3"/>
                <w:sz w:val="24"/>
              </w:rPr>
              <w:t>消防车通道。人员密集场所的门窗不得设置影响逃生和灭火救援的障碍物。</w:t>
            </w:r>
          </w:p>
        </w:tc>
        <w:tc>
          <w:tcPr>
            <w:tcW w:w="391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7"/>
              <w:rPr>
                <w:rFonts w:ascii="PMingLiU"/>
                <w:sz w:val="26"/>
              </w:rPr>
            </w:pPr>
          </w:p>
          <w:p>
            <w:pPr>
              <w:pStyle w:val="10"/>
              <w:ind w:left="106"/>
              <w:rPr>
                <w:sz w:val="24"/>
              </w:rPr>
            </w:pPr>
            <w:r>
              <w:rPr>
                <w:spacing w:val="-1"/>
                <w:sz w:val="24"/>
              </w:rPr>
              <w:t>《中华人民共和国消防法》</w:t>
            </w:r>
          </w:p>
          <w:p>
            <w:pPr>
              <w:pStyle w:val="10"/>
              <w:spacing w:before="94" w:line="312" w:lineRule="auto"/>
              <w:ind w:left="106" w:right="85"/>
              <w:rPr>
                <w:sz w:val="24"/>
              </w:rPr>
            </w:pPr>
            <w:r>
              <w:rPr>
                <w:spacing w:val="8"/>
                <w:sz w:val="24"/>
              </w:rPr>
              <w:t>第六十条第 一款第(二)项和第二</w:t>
            </w:r>
            <w:r>
              <w:rPr>
                <w:spacing w:val="-10"/>
                <w:sz w:val="24"/>
              </w:rPr>
              <w:t>款</w:t>
            </w:r>
          </w:p>
        </w:tc>
        <w:tc>
          <w:tcPr>
            <w:tcW w:w="1843"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2"/>
              <w:rPr>
                <w:rFonts w:ascii="PMingLiU"/>
                <w:sz w:val="31"/>
              </w:rPr>
            </w:pPr>
          </w:p>
          <w:p>
            <w:pPr>
              <w:pStyle w:val="10"/>
              <w:spacing w:before="1" w:line="312" w:lineRule="auto"/>
              <w:ind w:left="680" w:right="180" w:hanging="480"/>
              <w:rPr>
                <w:sz w:val="24"/>
              </w:rPr>
            </w:pPr>
            <w:r>
              <w:rPr>
                <w:spacing w:val="-2"/>
                <w:sz w:val="24"/>
              </w:rPr>
              <w:t>市县消防救援</w:t>
            </w:r>
            <w:r>
              <w:rPr>
                <w:spacing w:val="-6"/>
                <w:sz w:val="24"/>
              </w:rPr>
              <w:t>机构</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854"/>
        <w:gridCol w:w="4645"/>
        <w:gridCol w:w="3919"/>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913"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left="16"/>
              <w:jc w:val="center"/>
              <w:rPr>
                <w:rFonts w:ascii="黑体"/>
                <w:sz w:val="32"/>
              </w:rPr>
            </w:pPr>
            <w:r>
              <w:rPr>
                <w:rFonts w:ascii="黑体"/>
                <w:w w:val="99"/>
                <w:sz w:val="32"/>
              </w:rPr>
              <w:t>3</w:t>
            </w:r>
          </w:p>
        </w:tc>
        <w:tc>
          <w:tcPr>
            <w:tcW w:w="2854" w:type="dxa"/>
          </w:tcPr>
          <w:p>
            <w:pPr>
              <w:pStyle w:val="10"/>
              <w:rPr>
                <w:rFonts w:ascii="PMingLiU"/>
                <w:sz w:val="24"/>
              </w:rPr>
            </w:pPr>
          </w:p>
          <w:p>
            <w:pPr>
              <w:pStyle w:val="10"/>
              <w:rPr>
                <w:rFonts w:ascii="PMingLiU"/>
                <w:sz w:val="24"/>
              </w:rPr>
            </w:pPr>
          </w:p>
          <w:p>
            <w:pPr>
              <w:pStyle w:val="10"/>
              <w:spacing w:before="210" w:line="312" w:lineRule="auto"/>
              <w:ind w:left="107" w:right="86"/>
              <w:jc w:val="both"/>
              <w:rPr>
                <w:sz w:val="24"/>
              </w:rPr>
            </w:pPr>
            <w:r>
              <w:rPr>
                <w:spacing w:val="-2"/>
                <w:sz w:val="24"/>
              </w:rPr>
              <w:t>占用、堵塞、封闭疏散通</w:t>
            </w:r>
            <w:r>
              <w:rPr>
                <w:spacing w:val="4"/>
                <w:sz w:val="24"/>
              </w:rPr>
              <w:t>道、 安全出口或者有其</w:t>
            </w:r>
            <w:r>
              <w:rPr>
                <w:spacing w:val="-2"/>
                <w:sz w:val="24"/>
              </w:rPr>
              <w:t>他妨碍安全疏散行为</w:t>
            </w:r>
          </w:p>
        </w:tc>
        <w:tc>
          <w:tcPr>
            <w:tcW w:w="4645" w:type="dxa"/>
          </w:tcPr>
          <w:p>
            <w:pPr>
              <w:pStyle w:val="10"/>
              <w:spacing w:before="82" w:line="312" w:lineRule="auto"/>
              <w:ind w:left="107" w:right="-44"/>
              <w:rPr>
                <w:sz w:val="24"/>
              </w:rPr>
            </w:pPr>
            <w:r>
              <w:rPr>
                <w:spacing w:val="3"/>
                <w:sz w:val="24"/>
              </w:rPr>
              <w:t>《中华人民共和国消防法》第二十八条：任何单位、个人不得损坏、挪用或者擅自拆除、停用消防设施、器材，不得埋压、圈占、遮挡消火栓或者占用防火间距，不</w:t>
            </w:r>
            <w:r>
              <w:rPr>
                <w:spacing w:val="-2"/>
                <w:sz w:val="24"/>
              </w:rPr>
              <w:t>得占用、堵塞、封闭疏散通道、安全出口、</w:t>
            </w:r>
            <w:r>
              <w:rPr>
                <w:spacing w:val="3"/>
                <w:sz w:val="24"/>
              </w:rPr>
              <w:t>消防车通道。人员密集场所的门窗不得设</w:t>
            </w:r>
          </w:p>
          <w:p>
            <w:pPr>
              <w:pStyle w:val="10"/>
              <w:spacing w:before="2" w:line="298" w:lineRule="exact"/>
              <w:ind w:left="107"/>
              <w:rPr>
                <w:sz w:val="24"/>
              </w:rPr>
            </w:pPr>
            <w:r>
              <w:rPr>
                <w:spacing w:val="-1"/>
                <w:sz w:val="24"/>
              </w:rPr>
              <w:t>置影响逃生和灭火救援的障碍物。</w:t>
            </w:r>
          </w:p>
        </w:tc>
        <w:tc>
          <w:tcPr>
            <w:tcW w:w="3919" w:type="dxa"/>
          </w:tcPr>
          <w:p>
            <w:pPr>
              <w:pStyle w:val="10"/>
              <w:rPr>
                <w:rFonts w:ascii="PMingLiU"/>
                <w:sz w:val="24"/>
              </w:rPr>
            </w:pPr>
          </w:p>
          <w:p>
            <w:pPr>
              <w:pStyle w:val="10"/>
              <w:rPr>
                <w:rFonts w:ascii="PMingLiU"/>
                <w:sz w:val="24"/>
              </w:rPr>
            </w:pPr>
          </w:p>
          <w:p>
            <w:pPr>
              <w:pStyle w:val="10"/>
              <w:spacing w:before="210" w:line="312" w:lineRule="auto"/>
              <w:ind w:left="106" w:right="87"/>
              <w:rPr>
                <w:sz w:val="24"/>
              </w:rPr>
            </w:pPr>
            <w:r>
              <w:rPr>
                <w:spacing w:val="-2"/>
                <w:sz w:val="24"/>
              </w:rPr>
              <w:t>《中华人民共和国消防法》第六十条第一款第(三)项和第二款</w:t>
            </w:r>
          </w:p>
        </w:tc>
        <w:tc>
          <w:tcPr>
            <w:tcW w:w="1843"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913"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left="16"/>
              <w:jc w:val="center"/>
              <w:rPr>
                <w:rFonts w:ascii="黑体"/>
                <w:sz w:val="32"/>
              </w:rPr>
            </w:pPr>
            <w:r>
              <w:rPr>
                <w:rFonts w:ascii="黑体"/>
                <w:w w:val="99"/>
                <w:sz w:val="32"/>
              </w:rPr>
              <w:t>4</w:t>
            </w:r>
          </w:p>
        </w:tc>
        <w:tc>
          <w:tcPr>
            <w:tcW w:w="2854"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before="1" w:line="312" w:lineRule="auto"/>
              <w:ind w:left="107" w:right="86"/>
              <w:rPr>
                <w:sz w:val="24"/>
              </w:rPr>
            </w:pPr>
            <w:r>
              <w:rPr>
                <w:spacing w:val="-2"/>
                <w:sz w:val="24"/>
              </w:rPr>
              <w:t>埋压、圈占、遮挡消火栓或者占用防火间距</w:t>
            </w:r>
          </w:p>
        </w:tc>
        <w:tc>
          <w:tcPr>
            <w:tcW w:w="4645" w:type="dxa"/>
          </w:tcPr>
          <w:p>
            <w:pPr>
              <w:pStyle w:val="10"/>
              <w:spacing w:before="82" w:line="312" w:lineRule="auto"/>
              <w:ind w:left="107" w:right="-44"/>
              <w:rPr>
                <w:sz w:val="24"/>
              </w:rPr>
            </w:pPr>
            <w:r>
              <w:rPr>
                <w:spacing w:val="3"/>
                <w:sz w:val="24"/>
              </w:rPr>
              <w:t>《中华人民共和国消防法》第二十八条：任何单位、个人不得损坏、挪用或者擅自拆除、停用消防设施、器材，不得埋压、圈占、遮挡消火栓或者占用防火间距，不</w:t>
            </w:r>
            <w:r>
              <w:rPr>
                <w:spacing w:val="-2"/>
                <w:sz w:val="24"/>
              </w:rPr>
              <w:t>得占用、堵塞、封闭疏散通道、安全出口、</w:t>
            </w:r>
            <w:r>
              <w:rPr>
                <w:spacing w:val="3"/>
                <w:sz w:val="24"/>
              </w:rPr>
              <w:t>消防车通道。人员密集场所的门窗不得设</w:t>
            </w:r>
          </w:p>
          <w:p>
            <w:pPr>
              <w:pStyle w:val="10"/>
              <w:spacing w:before="2" w:line="298" w:lineRule="exact"/>
              <w:ind w:left="107"/>
              <w:rPr>
                <w:sz w:val="24"/>
              </w:rPr>
            </w:pPr>
            <w:r>
              <w:rPr>
                <w:spacing w:val="-1"/>
                <w:sz w:val="24"/>
              </w:rPr>
              <w:t>置影响逃生和灭火救援的障碍物。</w:t>
            </w:r>
          </w:p>
        </w:tc>
        <w:tc>
          <w:tcPr>
            <w:tcW w:w="3919" w:type="dxa"/>
          </w:tcPr>
          <w:p>
            <w:pPr>
              <w:pStyle w:val="10"/>
              <w:rPr>
                <w:rFonts w:ascii="PMingLiU"/>
                <w:sz w:val="24"/>
              </w:rPr>
            </w:pPr>
          </w:p>
          <w:p>
            <w:pPr>
              <w:pStyle w:val="10"/>
              <w:rPr>
                <w:rFonts w:ascii="PMingLiU"/>
                <w:sz w:val="24"/>
              </w:rPr>
            </w:pPr>
          </w:p>
          <w:p>
            <w:pPr>
              <w:pStyle w:val="10"/>
              <w:spacing w:before="210" w:line="312" w:lineRule="auto"/>
              <w:ind w:left="106" w:right="87"/>
              <w:rPr>
                <w:sz w:val="24"/>
              </w:rPr>
            </w:pPr>
            <w:r>
              <w:rPr>
                <w:spacing w:val="-2"/>
                <w:sz w:val="24"/>
              </w:rPr>
              <w:t>《中华人民共和国消防法》第六十</w:t>
            </w:r>
            <w:r>
              <w:rPr>
                <w:sz w:val="24"/>
              </w:rPr>
              <w:t>条第 一款第(四)项和第二款</w:t>
            </w:r>
          </w:p>
        </w:tc>
        <w:tc>
          <w:tcPr>
            <w:tcW w:w="1843"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before="1"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8" w:hRule="atLeast"/>
        </w:trPr>
        <w:tc>
          <w:tcPr>
            <w:tcW w:w="913" w:type="dxa"/>
          </w:tcPr>
          <w:p>
            <w:pPr>
              <w:pStyle w:val="10"/>
              <w:rPr>
                <w:rFonts w:ascii="PMingLiU"/>
                <w:sz w:val="32"/>
              </w:rPr>
            </w:pPr>
          </w:p>
          <w:p>
            <w:pPr>
              <w:pStyle w:val="10"/>
              <w:rPr>
                <w:rFonts w:ascii="PMingLiU"/>
                <w:sz w:val="32"/>
              </w:rPr>
            </w:pPr>
          </w:p>
          <w:p>
            <w:pPr>
              <w:pStyle w:val="10"/>
              <w:spacing w:before="6"/>
              <w:rPr>
                <w:rFonts w:ascii="PMingLiU"/>
                <w:sz w:val="21"/>
              </w:rPr>
            </w:pPr>
          </w:p>
          <w:p>
            <w:pPr>
              <w:pStyle w:val="10"/>
              <w:ind w:left="16"/>
              <w:jc w:val="center"/>
              <w:rPr>
                <w:rFonts w:ascii="黑体"/>
                <w:sz w:val="32"/>
              </w:rPr>
            </w:pPr>
            <w:r>
              <w:rPr>
                <w:rFonts w:ascii="黑体"/>
                <w:w w:val="99"/>
                <w:sz w:val="32"/>
              </w:rPr>
              <w:t>5</w:t>
            </w:r>
          </w:p>
        </w:tc>
        <w:tc>
          <w:tcPr>
            <w:tcW w:w="2854"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before="1" w:line="312" w:lineRule="auto"/>
              <w:ind w:left="107" w:right="86"/>
              <w:rPr>
                <w:sz w:val="24"/>
              </w:rPr>
            </w:pPr>
            <w:r>
              <w:rPr>
                <w:spacing w:val="-2"/>
                <w:sz w:val="24"/>
              </w:rPr>
              <w:t>占用、堵塞、封闭消防车</w:t>
            </w:r>
            <w:r>
              <w:rPr>
                <w:spacing w:val="-6"/>
                <w:sz w:val="24"/>
              </w:rPr>
              <w:t>通道</w:t>
            </w:r>
          </w:p>
        </w:tc>
        <w:tc>
          <w:tcPr>
            <w:tcW w:w="4645" w:type="dxa"/>
          </w:tcPr>
          <w:p>
            <w:pPr>
              <w:pStyle w:val="10"/>
              <w:spacing w:before="82" w:line="312" w:lineRule="auto"/>
              <w:ind w:left="107" w:right="-44"/>
              <w:rPr>
                <w:sz w:val="24"/>
              </w:rPr>
            </w:pPr>
            <w:r>
              <w:rPr>
                <w:spacing w:val="3"/>
                <w:sz w:val="24"/>
              </w:rPr>
              <w:t>《中华人民共和国消防法》第二十八条：任何单位、个人不得损坏、挪用或者擅自拆除、停用消防设施、器材，不得埋压、圈占、遮挡消火栓或者占用防火间距，不</w:t>
            </w:r>
            <w:r>
              <w:rPr>
                <w:spacing w:val="-2"/>
                <w:sz w:val="24"/>
              </w:rPr>
              <w:t>得占用、堵塞、封闭疏散通道、安全出口、</w:t>
            </w:r>
            <w:r>
              <w:rPr>
                <w:spacing w:val="3"/>
                <w:sz w:val="24"/>
              </w:rPr>
              <w:t>消防车通道。人员密集场所的门窗不得设</w:t>
            </w:r>
          </w:p>
          <w:p>
            <w:pPr>
              <w:pStyle w:val="10"/>
              <w:spacing w:before="2" w:line="296" w:lineRule="exact"/>
              <w:ind w:left="107"/>
              <w:rPr>
                <w:sz w:val="24"/>
              </w:rPr>
            </w:pPr>
            <w:r>
              <w:rPr>
                <w:spacing w:val="-1"/>
                <w:sz w:val="24"/>
              </w:rPr>
              <w:t>置影响逃生和灭火救援的障碍物。</w:t>
            </w:r>
          </w:p>
        </w:tc>
        <w:tc>
          <w:tcPr>
            <w:tcW w:w="3919"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before="1" w:line="312" w:lineRule="auto"/>
              <w:ind w:left="106" w:right="87"/>
              <w:rPr>
                <w:sz w:val="24"/>
              </w:rPr>
            </w:pPr>
            <w:r>
              <w:rPr>
                <w:spacing w:val="-2"/>
                <w:sz w:val="24"/>
              </w:rPr>
              <w:t>《中华人民共和国消防法》第六十条第一款第(五)项和第二款</w:t>
            </w:r>
          </w:p>
        </w:tc>
        <w:tc>
          <w:tcPr>
            <w:tcW w:w="1843"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before="1" w:line="312" w:lineRule="auto"/>
              <w:ind w:left="680" w:right="180" w:hanging="480"/>
              <w:rPr>
                <w:sz w:val="24"/>
              </w:rPr>
            </w:pPr>
            <w:r>
              <w:rPr>
                <w:spacing w:val="-2"/>
                <w:sz w:val="24"/>
              </w:rPr>
              <w:t>市县消防救援</w:t>
            </w:r>
            <w:r>
              <w:rPr>
                <w:spacing w:val="-6"/>
                <w:sz w:val="24"/>
              </w:rPr>
              <w:t>机构</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854"/>
        <w:gridCol w:w="4645"/>
        <w:gridCol w:w="3919"/>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0" w:hRule="atLeast"/>
        </w:trPr>
        <w:tc>
          <w:tcPr>
            <w:tcW w:w="913" w:type="dxa"/>
          </w:tcPr>
          <w:p>
            <w:pPr>
              <w:pStyle w:val="10"/>
              <w:rPr>
                <w:rFonts w:ascii="PMingLiU"/>
                <w:sz w:val="32"/>
              </w:rPr>
            </w:pPr>
          </w:p>
          <w:p>
            <w:pPr>
              <w:pStyle w:val="10"/>
              <w:rPr>
                <w:rFonts w:ascii="PMingLiU"/>
                <w:sz w:val="32"/>
              </w:rPr>
            </w:pPr>
          </w:p>
          <w:p>
            <w:pPr>
              <w:pStyle w:val="10"/>
              <w:spacing w:before="240"/>
              <w:ind w:left="16"/>
              <w:jc w:val="center"/>
              <w:rPr>
                <w:rFonts w:ascii="黑体"/>
                <w:sz w:val="32"/>
              </w:rPr>
            </w:pPr>
            <w:r>
              <w:rPr>
                <w:rFonts w:ascii="黑体"/>
                <w:w w:val="99"/>
                <w:sz w:val="32"/>
              </w:rPr>
              <w:t>6</w:t>
            </w:r>
          </w:p>
        </w:tc>
        <w:tc>
          <w:tcPr>
            <w:tcW w:w="2854" w:type="dxa"/>
          </w:tcPr>
          <w:p>
            <w:pPr>
              <w:pStyle w:val="10"/>
              <w:rPr>
                <w:rFonts w:ascii="PMingLiU"/>
                <w:sz w:val="24"/>
              </w:rPr>
            </w:pPr>
          </w:p>
          <w:p>
            <w:pPr>
              <w:pStyle w:val="10"/>
              <w:spacing w:before="10"/>
              <w:rPr>
                <w:rFonts w:ascii="PMingLiU"/>
                <w:sz w:val="34"/>
              </w:rPr>
            </w:pPr>
          </w:p>
          <w:p>
            <w:pPr>
              <w:pStyle w:val="10"/>
              <w:spacing w:line="312" w:lineRule="auto"/>
              <w:ind w:left="107" w:right="86"/>
              <w:jc w:val="both"/>
              <w:rPr>
                <w:sz w:val="24"/>
              </w:rPr>
            </w:pPr>
            <w:r>
              <w:rPr>
                <w:spacing w:val="21"/>
                <w:sz w:val="24"/>
              </w:rPr>
              <w:t>对火灾隐患经消防救援机构通知后不及时采取</w:t>
            </w:r>
            <w:r>
              <w:rPr>
                <w:spacing w:val="-2"/>
                <w:sz w:val="24"/>
              </w:rPr>
              <w:t>措施消除的</w:t>
            </w:r>
          </w:p>
        </w:tc>
        <w:tc>
          <w:tcPr>
            <w:tcW w:w="4645" w:type="dxa"/>
          </w:tcPr>
          <w:p>
            <w:pPr>
              <w:pStyle w:val="10"/>
              <w:spacing w:before="11"/>
              <w:rPr>
                <w:rFonts w:ascii="PMingLiU"/>
                <w:sz w:val="15"/>
              </w:rPr>
            </w:pPr>
          </w:p>
          <w:p>
            <w:pPr>
              <w:pStyle w:val="10"/>
              <w:spacing w:before="1" w:line="312" w:lineRule="auto"/>
              <w:ind w:left="107" w:right="85"/>
              <w:jc w:val="both"/>
              <w:rPr>
                <w:sz w:val="24"/>
              </w:rPr>
            </w:pPr>
            <w:r>
              <w:rPr>
                <w:spacing w:val="-3"/>
                <w:sz w:val="24"/>
              </w:rPr>
              <w:t>《中华人民共和国消防法》 第十六条第五</w:t>
            </w:r>
            <w:r>
              <w:rPr>
                <w:spacing w:val="-2"/>
                <w:sz w:val="24"/>
              </w:rPr>
              <w:t>项：机关、团体、企业、事业等单位应当</w:t>
            </w:r>
            <w:r>
              <w:rPr>
                <w:spacing w:val="-5"/>
                <w:sz w:val="24"/>
              </w:rPr>
              <w:t>履行下列 消防安全职责：(五)组织防火检</w:t>
            </w:r>
            <w:r>
              <w:rPr>
                <w:sz w:val="24"/>
              </w:rPr>
              <w:t>查，及时消除火灾隐患”,处 罚依据建议改 为 “《中华人民共和国消防法》第六十条第一款第( 七 ) 项</w:t>
            </w:r>
          </w:p>
        </w:tc>
        <w:tc>
          <w:tcPr>
            <w:tcW w:w="3919" w:type="dxa"/>
          </w:tcPr>
          <w:p>
            <w:pPr>
              <w:pStyle w:val="10"/>
              <w:rPr>
                <w:rFonts w:ascii="PMingLiU"/>
                <w:sz w:val="24"/>
              </w:rPr>
            </w:pPr>
          </w:p>
          <w:p>
            <w:pPr>
              <w:pStyle w:val="10"/>
              <w:rPr>
                <w:rFonts w:ascii="PMingLiU"/>
                <w:sz w:val="24"/>
              </w:rPr>
            </w:pPr>
          </w:p>
          <w:p>
            <w:pPr>
              <w:pStyle w:val="10"/>
              <w:spacing w:before="13"/>
              <w:rPr>
                <w:rFonts w:ascii="PMingLiU"/>
                <w:sz w:val="24"/>
              </w:rPr>
            </w:pPr>
          </w:p>
          <w:p>
            <w:pPr>
              <w:pStyle w:val="10"/>
              <w:spacing w:before="1" w:line="312" w:lineRule="auto"/>
              <w:ind w:left="106" w:right="87"/>
              <w:rPr>
                <w:sz w:val="24"/>
              </w:rPr>
            </w:pPr>
            <w:r>
              <w:rPr>
                <w:spacing w:val="-2"/>
                <w:sz w:val="24"/>
              </w:rPr>
              <w:t>《中华人民共和国消防法》第六十条第一款第（七）项</w:t>
            </w:r>
          </w:p>
        </w:tc>
        <w:tc>
          <w:tcPr>
            <w:tcW w:w="1843" w:type="dxa"/>
          </w:tcPr>
          <w:p>
            <w:pPr>
              <w:pStyle w:val="10"/>
              <w:rPr>
                <w:rFonts w:ascii="PMingLiU"/>
                <w:sz w:val="24"/>
              </w:rPr>
            </w:pPr>
          </w:p>
          <w:p>
            <w:pPr>
              <w:pStyle w:val="10"/>
              <w:rPr>
                <w:rFonts w:ascii="PMingLiU"/>
                <w:sz w:val="24"/>
              </w:rPr>
            </w:pPr>
          </w:p>
          <w:p>
            <w:pPr>
              <w:pStyle w:val="10"/>
              <w:spacing w:before="13"/>
              <w:rPr>
                <w:rFonts w:ascii="PMingLiU"/>
                <w:sz w:val="24"/>
              </w:rPr>
            </w:pPr>
          </w:p>
          <w:p>
            <w:pPr>
              <w:pStyle w:val="10"/>
              <w:spacing w:before="1"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5" w:hRule="atLeast"/>
        </w:trPr>
        <w:tc>
          <w:tcPr>
            <w:tcW w:w="913" w:type="dxa"/>
          </w:tcPr>
          <w:p>
            <w:pPr>
              <w:pStyle w:val="10"/>
              <w:rPr>
                <w:rFonts w:ascii="PMingLiU"/>
                <w:sz w:val="32"/>
              </w:rPr>
            </w:pPr>
          </w:p>
          <w:p>
            <w:pPr>
              <w:pStyle w:val="10"/>
              <w:rPr>
                <w:rFonts w:ascii="PMingLiU"/>
                <w:sz w:val="32"/>
              </w:rPr>
            </w:pPr>
          </w:p>
          <w:p>
            <w:pPr>
              <w:pStyle w:val="10"/>
              <w:spacing w:before="12"/>
              <w:rPr>
                <w:rFonts w:ascii="PMingLiU"/>
                <w:sz w:val="30"/>
              </w:rPr>
            </w:pPr>
          </w:p>
          <w:p>
            <w:pPr>
              <w:pStyle w:val="10"/>
              <w:ind w:left="16"/>
              <w:jc w:val="center"/>
              <w:rPr>
                <w:rFonts w:ascii="黑体"/>
                <w:sz w:val="32"/>
              </w:rPr>
            </w:pPr>
            <w:r>
              <w:rPr>
                <w:rFonts w:ascii="黑体"/>
                <w:w w:val="99"/>
                <w:sz w:val="32"/>
              </w:rPr>
              <w:t>7</w:t>
            </w:r>
          </w:p>
        </w:tc>
        <w:tc>
          <w:tcPr>
            <w:tcW w:w="2854" w:type="dxa"/>
          </w:tcPr>
          <w:p>
            <w:pPr>
              <w:pStyle w:val="10"/>
              <w:spacing w:before="8"/>
              <w:rPr>
                <w:rFonts w:ascii="PMingLiU"/>
                <w:sz w:val="29"/>
              </w:rPr>
            </w:pPr>
          </w:p>
          <w:p>
            <w:pPr>
              <w:pStyle w:val="10"/>
              <w:spacing w:line="312" w:lineRule="auto"/>
              <w:ind w:left="107" w:right="86"/>
              <w:jc w:val="both"/>
              <w:rPr>
                <w:sz w:val="24"/>
              </w:rPr>
            </w:pPr>
            <w:r>
              <w:rPr>
                <w:spacing w:val="21"/>
                <w:sz w:val="24"/>
              </w:rPr>
              <w:t>住宅区物业服务企业未</w:t>
            </w:r>
            <w:r>
              <w:rPr>
                <w:spacing w:val="4"/>
                <w:sz w:val="24"/>
              </w:rPr>
              <w:t>对管 理区域公共消防设</w:t>
            </w:r>
            <w:r>
              <w:rPr>
                <w:spacing w:val="-2"/>
                <w:sz w:val="24"/>
              </w:rPr>
              <w:t>施、器材、消防安全标志</w:t>
            </w:r>
            <w:r>
              <w:rPr>
                <w:spacing w:val="21"/>
                <w:sz w:val="24"/>
              </w:rPr>
              <w:t>和消防车通道标识进行定期维护管理并保持其</w:t>
            </w:r>
            <w:r>
              <w:rPr>
                <w:spacing w:val="-4"/>
                <w:sz w:val="24"/>
              </w:rPr>
              <w:t>完好有效</w:t>
            </w:r>
          </w:p>
        </w:tc>
        <w:tc>
          <w:tcPr>
            <w:tcW w:w="4645" w:type="dxa"/>
          </w:tcPr>
          <w:p>
            <w:pPr>
              <w:pStyle w:val="10"/>
              <w:spacing w:before="8"/>
              <w:rPr>
                <w:rFonts w:ascii="PMingLiU"/>
                <w:sz w:val="29"/>
              </w:rPr>
            </w:pPr>
          </w:p>
          <w:p>
            <w:pPr>
              <w:pStyle w:val="10"/>
              <w:spacing w:line="312" w:lineRule="auto"/>
              <w:ind w:left="107" w:right="87"/>
              <w:jc w:val="both"/>
              <w:rPr>
                <w:sz w:val="24"/>
              </w:rPr>
            </w:pPr>
            <w:r>
              <w:rPr>
                <w:spacing w:val="-2"/>
                <w:sz w:val="24"/>
              </w:rPr>
              <w:t>《安徽省消防条例》第二十五条第一款第三项：住宅区的物业服务企业应当在管理区域内履行下列消防安全职责：（三）定期对管理区域内公共消防设施、器材、消防安全标志和消防车通道标识标线进行维护管理，保持完好有效。</w:t>
            </w:r>
          </w:p>
        </w:tc>
        <w:tc>
          <w:tcPr>
            <w:tcW w:w="3919" w:type="dxa"/>
          </w:tcPr>
          <w:p>
            <w:pPr>
              <w:pStyle w:val="10"/>
              <w:rPr>
                <w:rFonts w:ascii="PMingLiU"/>
                <w:sz w:val="24"/>
              </w:rPr>
            </w:pPr>
          </w:p>
          <w:p>
            <w:pPr>
              <w:pStyle w:val="10"/>
              <w:spacing w:before="11"/>
              <w:rPr>
                <w:rFonts w:ascii="PMingLiU"/>
                <w:sz w:val="19"/>
              </w:rPr>
            </w:pPr>
          </w:p>
          <w:p>
            <w:pPr>
              <w:pStyle w:val="10"/>
              <w:spacing w:line="312" w:lineRule="auto"/>
              <w:ind w:left="106" w:right="87"/>
              <w:jc w:val="both"/>
              <w:rPr>
                <w:sz w:val="24"/>
              </w:rPr>
            </w:pPr>
            <w:r>
              <w:rPr>
                <w:spacing w:val="-2"/>
                <w:sz w:val="24"/>
              </w:rPr>
              <w:t>《安徽省消防条例》第七十二条：住宅区物业服务企业违反本条例第二十五条第一款规定的，由消防救援机构责令限期改正；逾期不改正的，给予警告。</w:t>
            </w:r>
          </w:p>
        </w:tc>
        <w:tc>
          <w:tcPr>
            <w:tcW w:w="1843"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206"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6" w:hRule="atLeast"/>
        </w:trPr>
        <w:tc>
          <w:tcPr>
            <w:tcW w:w="913" w:type="dxa"/>
          </w:tcPr>
          <w:p>
            <w:pPr>
              <w:pStyle w:val="10"/>
              <w:rPr>
                <w:rFonts w:ascii="PMingLiU"/>
                <w:sz w:val="32"/>
              </w:rPr>
            </w:pPr>
          </w:p>
          <w:p>
            <w:pPr>
              <w:pStyle w:val="10"/>
              <w:spacing w:before="6"/>
              <w:rPr>
                <w:rFonts w:ascii="PMingLiU"/>
                <w:sz w:val="44"/>
              </w:rPr>
            </w:pPr>
          </w:p>
          <w:p>
            <w:pPr>
              <w:pStyle w:val="10"/>
              <w:ind w:left="16"/>
              <w:jc w:val="center"/>
              <w:rPr>
                <w:rFonts w:ascii="黑体"/>
                <w:sz w:val="32"/>
              </w:rPr>
            </w:pPr>
            <w:r>
              <w:rPr>
                <w:rFonts w:ascii="黑体"/>
                <w:w w:val="99"/>
                <w:sz w:val="32"/>
              </w:rPr>
              <w:t>8</w:t>
            </w:r>
          </w:p>
        </w:tc>
        <w:tc>
          <w:tcPr>
            <w:tcW w:w="2854" w:type="dxa"/>
          </w:tcPr>
          <w:p>
            <w:pPr>
              <w:pStyle w:val="10"/>
              <w:spacing w:before="5"/>
              <w:rPr>
                <w:rFonts w:ascii="PMingLiU"/>
                <w:sz w:val="25"/>
              </w:rPr>
            </w:pPr>
          </w:p>
          <w:p>
            <w:pPr>
              <w:pStyle w:val="10"/>
              <w:spacing w:line="312" w:lineRule="auto"/>
              <w:ind w:left="107" w:right="86"/>
              <w:jc w:val="both"/>
              <w:rPr>
                <w:sz w:val="24"/>
              </w:rPr>
            </w:pPr>
            <w:r>
              <w:rPr>
                <w:spacing w:val="21"/>
                <w:sz w:val="24"/>
              </w:rPr>
              <w:t>住宅区物业服务企业未按规定设置电动自行车</w:t>
            </w:r>
            <w:r>
              <w:rPr>
                <w:spacing w:val="-2"/>
                <w:sz w:val="24"/>
              </w:rPr>
              <w:t>存放和充电场所，未配置</w:t>
            </w:r>
            <w:r>
              <w:rPr>
                <w:spacing w:val="21"/>
                <w:sz w:val="24"/>
              </w:rPr>
              <w:t>必要的消防器材并加强</w:t>
            </w:r>
            <w:r>
              <w:rPr>
                <w:spacing w:val="-6"/>
                <w:sz w:val="24"/>
              </w:rPr>
              <w:t>管理</w:t>
            </w:r>
          </w:p>
        </w:tc>
        <w:tc>
          <w:tcPr>
            <w:tcW w:w="4645" w:type="dxa"/>
          </w:tcPr>
          <w:p>
            <w:pPr>
              <w:pStyle w:val="10"/>
              <w:spacing w:before="5"/>
              <w:rPr>
                <w:rFonts w:ascii="PMingLiU"/>
                <w:sz w:val="25"/>
              </w:rPr>
            </w:pPr>
          </w:p>
          <w:p>
            <w:pPr>
              <w:pStyle w:val="10"/>
              <w:spacing w:line="312" w:lineRule="auto"/>
              <w:ind w:left="107" w:right="87"/>
              <w:jc w:val="both"/>
              <w:rPr>
                <w:sz w:val="24"/>
              </w:rPr>
            </w:pPr>
            <w:r>
              <w:rPr>
                <w:spacing w:val="-2"/>
                <w:sz w:val="24"/>
              </w:rPr>
              <w:t>《安徽省消防条例》第二十五条第一款第四项：住宅区的物业服务企业应当在管理区域内履行下列消防安全职责：（四）按照规定设置电动自行车存放和充电场所，配备必要的消防器材并加强管理。</w:t>
            </w:r>
          </w:p>
        </w:tc>
        <w:tc>
          <w:tcPr>
            <w:tcW w:w="3919" w:type="dxa"/>
          </w:tcPr>
          <w:p>
            <w:pPr>
              <w:pStyle w:val="10"/>
              <w:spacing w:before="5"/>
              <w:rPr>
                <w:rFonts w:ascii="PMingLiU"/>
                <w:sz w:val="25"/>
              </w:rPr>
            </w:pPr>
          </w:p>
          <w:p>
            <w:pPr>
              <w:pStyle w:val="10"/>
              <w:spacing w:line="312" w:lineRule="auto"/>
              <w:ind w:left="106" w:right="87"/>
              <w:jc w:val="both"/>
              <w:rPr>
                <w:sz w:val="24"/>
              </w:rPr>
            </w:pPr>
            <w:r>
              <w:rPr>
                <w:spacing w:val="-2"/>
                <w:sz w:val="24"/>
              </w:rPr>
              <w:t>《安徽省消防条例》第七十二条：住宅区物业服务企业违反本条例第二十五条第一款规定的，由消防救援机构责令限期改正；逾期不改正的，给予警告。</w:t>
            </w:r>
          </w:p>
        </w:tc>
        <w:tc>
          <w:tcPr>
            <w:tcW w:w="1843" w:type="dxa"/>
          </w:tcPr>
          <w:p>
            <w:pPr>
              <w:pStyle w:val="10"/>
              <w:rPr>
                <w:rFonts w:ascii="PMingLiU"/>
                <w:sz w:val="24"/>
              </w:rPr>
            </w:pPr>
          </w:p>
          <w:p>
            <w:pPr>
              <w:pStyle w:val="10"/>
              <w:rPr>
                <w:rFonts w:ascii="PMingLiU"/>
                <w:sz w:val="24"/>
              </w:rPr>
            </w:pPr>
          </w:p>
          <w:p>
            <w:pPr>
              <w:pStyle w:val="10"/>
              <w:spacing w:before="4"/>
              <w:rPr>
                <w:rFonts w:ascii="PMingLiU"/>
                <w:sz w:val="20"/>
              </w:rPr>
            </w:pPr>
          </w:p>
          <w:p>
            <w:pPr>
              <w:pStyle w:val="10"/>
              <w:spacing w:line="312" w:lineRule="auto"/>
              <w:ind w:left="680" w:right="180" w:hanging="480"/>
              <w:rPr>
                <w:sz w:val="24"/>
              </w:rPr>
            </w:pPr>
            <w:r>
              <w:rPr>
                <w:spacing w:val="-2"/>
                <w:sz w:val="24"/>
              </w:rPr>
              <w:t>市县消防救援</w:t>
            </w:r>
            <w:r>
              <w:rPr>
                <w:spacing w:val="-6"/>
                <w:sz w:val="24"/>
              </w:rPr>
              <w:t>机构</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854"/>
        <w:gridCol w:w="4645"/>
        <w:gridCol w:w="3919"/>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0"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rPr>
                <w:rFonts w:ascii="PMingLiU"/>
                <w:sz w:val="32"/>
              </w:rPr>
            </w:pPr>
          </w:p>
          <w:p>
            <w:pPr>
              <w:pStyle w:val="10"/>
              <w:spacing w:before="10"/>
              <w:rPr>
                <w:rFonts w:ascii="PMingLiU"/>
                <w:sz w:val="24"/>
              </w:rPr>
            </w:pPr>
          </w:p>
          <w:p>
            <w:pPr>
              <w:pStyle w:val="10"/>
              <w:ind w:left="16"/>
              <w:jc w:val="center"/>
              <w:rPr>
                <w:rFonts w:ascii="黑体"/>
                <w:sz w:val="32"/>
              </w:rPr>
            </w:pPr>
            <w:r>
              <w:rPr>
                <w:rFonts w:ascii="黑体"/>
                <w:w w:val="99"/>
                <w:sz w:val="32"/>
              </w:rPr>
              <w:t>9</w:t>
            </w:r>
          </w:p>
        </w:tc>
        <w:tc>
          <w:tcPr>
            <w:tcW w:w="2854"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9"/>
              <w:rPr>
                <w:rFonts w:ascii="PMingLiU"/>
                <w:sz w:val="29"/>
              </w:rPr>
            </w:pPr>
          </w:p>
          <w:p>
            <w:pPr>
              <w:pStyle w:val="10"/>
              <w:spacing w:line="312" w:lineRule="auto"/>
              <w:ind w:left="107" w:right="84"/>
              <w:jc w:val="both"/>
              <w:rPr>
                <w:sz w:val="24"/>
              </w:rPr>
            </w:pPr>
            <w:r>
              <w:rPr>
                <w:spacing w:val="21"/>
                <w:sz w:val="24"/>
              </w:rPr>
              <w:t>在高层民用建筑内进行</w:t>
            </w:r>
            <w:r>
              <w:rPr>
                <w:spacing w:val="-2"/>
                <w:sz w:val="24"/>
              </w:rPr>
              <w:t>电焊、气焊等明火作业，未履行动火审批手续、进行公告，或者未落实消防现场监护措施的</w:t>
            </w:r>
          </w:p>
        </w:tc>
        <w:tc>
          <w:tcPr>
            <w:tcW w:w="4645" w:type="dxa"/>
          </w:tcPr>
          <w:p>
            <w:pPr>
              <w:pStyle w:val="10"/>
              <w:spacing w:line="360" w:lineRule="exact"/>
              <w:ind w:left="107" w:right="87"/>
              <w:jc w:val="both"/>
              <w:rPr>
                <w:sz w:val="24"/>
              </w:rPr>
            </w:pPr>
            <w:r>
              <w:rPr>
                <w:spacing w:val="-2"/>
                <w:sz w:val="24"/>
              </w:rPr>
              <w:t>《高层民用建筑消防安全管理规定》第十五条：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tc>
        <w:tc>
          <w:tcPr>
            <w:tcW w:w="391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7"/>
              <w:rPr>
                <w:rFonts w:ascii="PMingLiU"/>
                <w:sz w:val="24"/>
              </w:rPr>
            </w:pPr>
          </w:p>
          <w:p>
            <w:pPr>
              <w:pStyle w:val="10"/>
              <w:spacing w:before="1" w:line="312" w:lineRule="auto"/>
              <w:ind w:left="106" w:right="87"/>
              <w:rPr>
                <w:sz w:val="24"/>
              </w:rPr>
            </w:pPr>
            <w:r>
              <w:rPr>
                <w:spacing w:val="22"/>
                <w:sz w:val="24"/>
              </w:rPr>
              <w:t>《高层民用建筑消防安全管理规</w:t>
            </w:r>
            <w:r>
              <w:rPr>
                <w:spacing w:val="-2"/>
                <w:sz w:val="24"/>
              </w:rPr>
              <w:t>定》第四十七条第一款第(一)项</w:t>
            </w:r>
          </w:p>
        </w:tc>
        <w:tc>
          <w:tcPr>
            <w:tcW w:w="1843"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7"/>
              <w:rPr>
                <w:rFonts w:ascii="PMingLiU"/>
                <w:sz w:val="24"/>
              </w:rPr>
            </w:pPr>
          </w:p>
          <w:p>
            <w:pPr>
              <w:pStyle w:val="10"/>
              <w:spacing w:before="1" w:line="312" w:lineRule="auto"/>
              <w:ind w:left="680" w:right="180" w:hanging="480"/>
              <w:rPr>
                <w:sz w:val="24"/>
              </w:rPr>
            </w:pPr>
            <w:r>
              <w:rPr>
                <w:spacing w:val="-2"/>
                <w:sz w:val="24"/>
              </w:rPr>
              <w:t>市县消防救援</w:t>
            </w:r>
            <w:r>
              <w:rPr>
                <w:spacing w:val="-6"/>
                <w:sz w:val="24"/>
              </w:rPr>
              <w:t>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8"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13"/>
              <w:rPr>
                <w:rFonts w:ascii="PMingLiU"/>
                <w:sz w:val="30"/>
              </w:rPr>
            </w:pPr>
          </w:p>
          <w:p>
            <w:pPr>
              <w:pStyle w:val="10"/>
              <w:ind w:left="161" w:right="142"/>
              <w:jc w:val="center"/>
              <w:rPr>
                <w:rFonts w:ascii="黑体"/>
                <w:sz w:val="32"/>
              </w:rPr>
            </w:pPr>
            <w:r>
              <w:rPr>
                <w:rFonts w:ascii="黑体"/>
                <w:spacing w:val="-5"/>
                <w:sz w:val="32"/>
              </w:rPr>
              <w:t>10</w:t>
            </w:r>
          </w:p>
        </w:tc>
        <w:tc>
          <w:tcPr>
            <w:tcW w:w="2854" w:type="dxa"/>
          </w:tcPr>
          <w:p>
            <w:pPr>
              <w:pStyle w:val="10"/>
              <w:rPr>
                <w:rFonts w:ascii="PMingLiU"/>
                <w:sz w:val="24"/>
              </w:rPr>
            </w:pPr>
          </w:p>
          <w:p>
            <w:pPr>
              <w:pStyle w:val="10"/>
              <w:rPr>
                <w:rFonts w:ascii="PMingLiU"/>
                <w:sz w:val="24"/>
              </w:rPr>
            </w:pPr>
          </w:p>
          <w:p>
            <w:pPr>
              <w:pStyle w:val="10"/>
              <w:spacing w:before="11"/>
              <w:rPr>
                <w:rFonts w:ascii="PMingLiU"/>
                <w:sz w:val="27"/>
              </w:rPr>
            </w:pPr>
          </w:p>
          <w:p>
            <w:pPr>
              <w:pStyle w:val="10"/>
              <w:spacing w:before="1" w:line="312" w:lineRule="auto"/>
              <w:ind w:left="107" w:right="86"/>
              <w:jc w:val="both"/>
              <w:rPr>
                <w:sz w:val="24"/>
              </w:rPr>
            </w:pPr>
            <w:r>
              <w:rPr>
                <w:spacing w:val="21"/>
                <w:sz w:val="24"/>
              </w:rPr>
              <w:t>未设置外墙外保温材料</w:t>
            </w:r>
            <w:r>
              <w:rPr>
                <w:spacing w:val="4"/>
                <w:sz w:val="24"/>
              </w:rPr>
              <w:t>提 示性和警示性标识，</w:t>
            </w:r>
            <w:r>
              <w:rPr>
                <w:spacing w:val="21"/>
                <w:sz w:val="24"/>
              </w:rPr>
              <w:t>或者未及时修复外墙外</w:t>
            </w:r>
            <w:r>
              <w:rPr>
                <w:spacing w:val="5"/>
                <w:sz w:val="24"/>
              </w:rPr>
              <w:t>保温系统的破损、开 裂</w:t>
            </w:r>
            <w:r>
              <w:rPr>
                <w:spacing w:val="-4"/>
                <w:sz w:val="24"/>
              </w:rPr>
              <w:t>和脱落</w:t>
            </w:r>
          </w:p>
        </w:tc>
        <w:tc>
          <w:tcPr>
            <w:tcW w:w="4645" w:type="dxa"/>
          </w:tcPr>
          <w:p>
            <w:pPr>
              <w:pStyle w:val="10"/>
              <w:spacing w:line="360" w:lineRule="exact"/>
              <w:ind w:left="107" w:right="-44"/>
              <w:rPr>
                <w:sz w:val="24"/>
              </w:rPr>
            </w:pPr>
            <w:r>
              <w:rPr>
                <w:spacing w:val="-1"/>
                <w:sz w:val="24"/>
              </w:rPr>
              <w:t>《高层民用建筑消防安全管理 规定》第十</w:t>
            </w:r>
            <w:r>
              <w:rPr>
                <w:spacing w:val="3"/>
                <w:sz w:val="24"/>
              </w:rPr>
              <w:t>九条第一款：设有建筑外墙外保温系统的高层民用建筑，其管理单位应当在主入口及周边相关显著位置，设置提示性和警示</w:t>
            </w:r>
            <w:r>
              <w:rPr>
                <w:spacing w:val="-1"/>
                <w:sz w:val="24"/>
              </w:rPr>
              <w:t>性标识，标示外墙外保温材料的燃烧性能、</w:t>
            </w:r>
            <w:r>
              <w:rPr>
                <w:spacing w:val="-4"/>
                <w:sz w:val="24"/>
              </w:rPr>
              <w:t>防火要求。对 高层民用建筑外墙外保温系统破损、开裂和脱落的，应当及时修 复。</w:t>
            </w:r>
            <w:r>
              <w:rPr>
                <w:spacing w:val="3"/>
                <w:sz w:val="24"/>
              </w:rPr>
              <w:t>高层民用建筑在进行外墙外保温系统施工</w:t>
            </w:r>
            <w:r>
              <w:rPr>
                <w:spacing w:val="-3"/>
                <w:sz w:val="24"/>
              </w:rPr>
              <w:t>时，建设单位应当 采取必要的防火隔离以</w:t>
            </w:r>
            <w:r>
              <w:rPr>
                <w:spacing w:val="3"/>
                <w:sz w:val="24"/>
              </w:rPr>
              <w:t>及限制住人和使用的措施，确保建筑内人员安全。</w:t>
            </w:r>
          </w:p>
        </w:tc>
        <w:tc>
          <w:tcPr>
            <w:tcW w:w="3919"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22"/>
              </w:rPr>
            </w:pPr>
          </w:p>
          <w:p>
            <w:pPr>
              <w:pStyle w:val="10"/>
              <w:spacing w:line="312" w:lineRule="auto"/>
              <w:ind w:left="106" w:right="87"/>
              <w:rPr>
                <w:sz w:val="24"/>
              </w:rPr>
            </w:pPr>
            <w:r>
              <w:rPr>
                <w:spacing w:val="22"/>
                <w:sz w:val="24"/>
              </w:rPr>
              <w:t>《高层民用建筑消防安全管理规</w:t>
            </w:r>
            <w:r>
              <w:rPr>
                <w:spacing w:val="-2"/>
                <w:sz w:val="24"/>
              </w:rPr>
              <w:t>定》第四十七条第一款第(三)项</w:t>
            </w:r>
          </w:p>
        </w:tc>
        <w:tc>
          <w:tcPr>
            <w:tcW w:w="1843" w:type="dxa"/>
          </w:tcPr>
          <w:p>
            <w:pPr>
              <w:pStyle w:val="10"/>
              <w:rPr>
                <w:rFonts w:ascii="PMingLiU"/>
                <w:sz w:val="24"/>
              </w:rPr>
            </w:pPr>
          </w:p>
          <w:p>
            <w:pPr>
              <w:pStyle w:val="10"/>
              <w:rPr>
                <w:rFonts w:ascii="PMingLiU"/>
                <w:sz w:val="24"/>
              </w:rPr>
            </w:pPr>
          </w:p>
          <w:p>
            <w:pPr>
              <w:pStyle w:val="10"/>
              <w:rPr>
                <w:rFonts w:ascii="PMingLiU"/>
                <w:sz w:val="24"/>
              </w:rPr>
            </w:pPr>
          </w:p>
          <w:p>
            <w:pPr>
              <w:pStyle w:val="10"/>
              <w:rPr>
                <w:rFonts w:ascii="PMingLiU"/>
                <w:sz w:val="24"/>
              </w:rPr>
            </w:pPr>
          </w:p>
          <w:p>
            <w:pPr>
              <w:pStyle w:val="10"/>
              <w:spacing w:before="10"/>
              <w:rPr>
                <w:rFonts w:ascii="PMingLiU"/>
                <w:sz w:val="22"/>
              </w:rPr>
            </w:pPr>
          </w:p>
          <w:p>
            <w:pPr>
              <w:pStyle w:val="10"/>
              <w:spacing w:line="312" w:lineRule="auto"/>
              <w:ind w:left="680" w:right="180" w:hanging="480"/>
              <w:rPr>
                <w:sz w:val="24"/>
              </w:rPr>
            </w:pPr>
            <w:r>
              <w:rPr>
                <w:spacing w:val="-2"/>
                <w:sz w:val="24"/>
              </w:rPr>
              <w:t>市县消防救援</w:t>
            </w:r>
            <w:r>
              <w:rPr>
                <w:spacing w:val="-6"/>
                <w:sz w:val="24"/>
              </w:rPr>
              <w:t>部门</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3"/>
        <w:gridCol w:w="2854"/>
        <w:gridCol w:w="4645"/>
        <w:gridCol w:w="3919"/>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0" w:hRule="atLeast"/>
        </w:trPr>
        <w:tc>
          <w:tcPr>
            <w:tcW w:w="913" w:type="dxa"/>
          </w:tcPr>
          <w:p>
            <w:pPr>
              <w:pStyle w:val="10"/>
              <w:rPr>
                <w:rFonts w:ascii="PMingLiU"/>
                <w:sz w:val="32"/>
              </w:rPr>
            </w:pPr>
          </w:p>
          <w:p>
            <w:pPr>
              <w:pStyle w:val="10"/>
              <w:rPr>
                <w:rFonts w:ascii="PMingLiU"/>
                <w:sz w:val="32"/>
              </w:rPr>
            </w:pPr>
          </w:p>
          <w:p>
            <w:pPr>
              <w:pStyle w:val="10"/>
              <w:rPr>
                <w:rFonts w:ascii="PMingLiU"/>
                <w:sz w:val="32"/>
              </w:rPr>
            </w:pPr>
          </w:p>
          <w:p>
            <w:pPr>
              <w:pStyle w:val="10"/>
              <w:spacing w:before="253"/>
              <w:ind w:left="158" w:right="142"/>
              <w:jc w:val="center"/>
              <w:rPr>
                <w:rFonts w:ascii="黑体"/>
                <w:sz w:val="32"/>
              </w:rPr>
            </w:pPr>
            <w:r>
              <w:rPr>
                <w:rFonts w:ascii="黑体"/>
                <w:spacing w:val="-5"/>
                <w:sz w:val="32"/>
              </w:rPr>
              <w:t>11</w:t>
            </w:r>
          </w:p>
        </w:tc>
        <w:tc>
          <w:tcPr>
            <w:tcW w:w="2854" w:type="dxa"/>
          </w:tcPr>
          <w:p>
            <w:pPr>
              <w:pStyle w:val="10"/>
              <w:rPr>
                <w:rFonts w:ascii="PMingLiU"/>
                <w:sz w:val="24"/>
              </w:rPr>
            </w:pPr>
          </w:p>
          <w:p>
            <w:pPr>
              <w:pStyle w:val="10"/>
              <w:rPr>
                <w:rFonts w:ascii="PMingLiU"/>
                <w:sz w:val="24"/>
              </w:rPr>
            </w:pPr>
          </w:p>
          <w:p>
            <w:pPr>
              <w:pStyle w:val="10"/>
              <w:spacing w:before="4"/>
              <w:rPr>
                <w:rFonts w:ascii="PMingLiU"/>
                <w:sz w:val="29"/>
              </w:rPr>
            </w:pPr>
          </w:p>
          <w:p>
            <w:pPr>
              <w:pStyle w:val="10"/>
              <w:spacing w:line="312" w:lineRule="auto"/>
              <w:ind w:left="107" w:right="86"/>
              <w:jc w:val="both"/>
              <w:rPr>
                <w:sz w:val="24"/>
              </w:rPr>
            </w:pPr>
            <w:r>
              <w:rPr>
                <w:spacing w:val="21"/>
                <w:sz w:val="24"/>
              </w:rPr>
              <w:t>未按照规定落实消防控</w:t>
            </w:r>
            <w:r>
              <w:rPr>
                <w:spacing w:val="-2"/>
                <w:sz w:val="24"/>
              </w:rPr>
              <w:t>制室值班制度，或者安排</w:t>
            </w:r>
            <w:r>
              <w:rPr>
                <w:spacing w:val="21"/>
                <w:sz w:val="24"/>
              </w:rPr>
              <w:t>不具备相应条件的人员</w:t>
            </w:r>
            <w:r>
              <w:rPr>
                <w:spacing w:val="-4"/>
                <w:sz w:val="24"/>
              </w:rPr>
              <w:t>值班的</w:t>
            </w:r>
          </w:p>
        </w:tc>
        <w:tc>
          <w:tcPr>
            <w:tcW w:w="4645" w:type="dxa"/>
          </w:tcPr>
          <w:p>
            <w:pPr>
              <w:pStyle w:val="10"/>
              <w:spacing w:before="82" w:line="312" w:lineRule="auto"/>
              <w:ind w:left="107" w:right="87"/>
              <w:jc w:val="both"/>
              <w:rPr>
                <w:sz w:val="24"/>
              </w:rPr>
            </w:pPr>
            <w:r>
              <w:rPr>
                <w:spacing w:val="-2"/>
                <w:sz w:val="24"/>
              </w:rPr>
              <w:t>《高层民用建筑消防安全管理规定》第二十六条：高层民用建筑消防控制室应当由</w:t>
            </w:r>
            <w:r>
              <w:rPr>
                <w:spacing w:val="-8"/>
                <w:sz w:val="24"/>
              </w:rPr>
              <w:t xml:space="preserve">其管理单位实行 </w:t>
            </w:r>
            <w:r>
              <w:rPr>
                <w:spacing w:val="-2"/>
                <w:sz w:val="24"/>
              </w:rPr>
              <w:t>24</w:t>
            </w:r>
            <w:r>
              <w:rPr>
                <w:spacing w:val="-10"/>
                <w:sz w:val="24"/>
              </w:rPr>
              <w:t xml:space="preserve"> 小时值班制度，每班不</w:t>
            </w:r>
          </w:p>
          <w:p>
            <w:pPr>
              <w:pStyle w:val="10"/>
              <w:spacing w:before="1" w:line="312" w:lineRule="auto"/>
              <w:ind w:left="107" w:right="87"/>
              <w:jc w:val="both"/>
              <w:rPr>
                <w:sz w:val="24"/>
              </w:rPr>
            </w:pPr>
            <w:r>
              <w:rPr>
                <w:w w:val="95"/>
                <w:sz w:val="24"/>
              </w:rPr>
              <w:t>应少于 2 名值班人员。消防控制室值班操</w:t>
            </w:r>
            <w:r>
              <w:rPr>
                <w:spacing w:val="-2"/>
                <w:sz w:val="24"/>
              </w:rPr>
              <w:t>作人员应当依法取得相应等级的消防行业特有工种职业资格证书，熟练掌握火警处置程序和要求，按照有关规定检查自动消</w:t>
            </w:r>
            <w:r>
              <w:rPr>
                <w:spacing w:val="-1"/>
                <w:sz w:val="24"/>
              </w:rPr>
              <w:t>防设施、联动控制设备运行情况，确保其</w:t>
            </w:r>
          </w:p>
          <w:p>
            <w:pPr>
              <w:pStyle w:val="10"/>
              <w:spacing w:line="298" w:lineRule="exact"/>
              <w:ind w:left="107"/>
              <w:rPr>
                <w:sz w:val="24"/>
              </w:rPr>
            </w:pPr>
            <w:r>
              <w:rPr>
                <w:spacing w:val="-2"/>
                <w:sz w:val="24"/>
              </w:rPr>
              <w:t>处于正常工作状态。</w:t>
            </w:r>
          </w:p>
        </w:tc>
        <w:tc>
          <w:tcPr>
            <w:tcW w:w="3919"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3"/>
              <w:rPr>
                <w:rFonts w:ascii="PMingLiU"/>
                <w:sz w:val="33"/>
              </w:rPr>
            </w:pPr>
          </w:p>
          <w:p>
            <w:pPr>
              <w:pStyle w:val="10"/>
              <w:spacing w:line="312" w:lineRule="auto"/>
              <w:ind w:left="106" w:right="87"/>
              <w:rPr>
                <w:sz w:val="24"/>
              </w:rPr>
            </w:pPr>
            <w:r>
              <w:rPr>
                <w:spacing w:val="22"/>
                <w:sz w:val="24"/>
              </w:rPr>
              <w:t>《高层民用建筑消防安全管理规</w:t>
            </w:r>
            <w:r>
              <w:rPr>
                <w:sz w:val="24"/>
              </w:rPr>
              <w:t>定》第四十七条第 一 款第(四)项</w:t>
            </w:r>
          </w:p>
        </w:tc>
        <w:tc>
          <w:tcPr>
            <w:tcW w:w="1843" w:type="dxa"/>
          </w:tcPr>
          <w:p>
            <w:pPr>
              <w:pStyle w:val="10"/>
              <w:rPr>
                <w:rFonts w:ascii="PMingLiU"/>
                <w:sz w:val="24"/>
              </w:rPr>
            </w:pPr>
          </w:p>
          <w:p>
            <w:pPr>
              <w:pStyle w:val="10"/>
              <w:rPr>
                <w:rFonts w:ascii="PMingLiU"/>
                <w:sz w:val="24"/>
              </w:rPr>
            </w:pPr>
          </w:p>
          <w:p>
            <w:pPr>
              <w:pStyle w:val="10"/>
              <w:rPr>
                <w:rFonts w:ascii="PMingLiU"/>
                <w:sz w:val="24"/>
              </w:rPr>
            </w:pPr>
          </w:p>
          <w:p>
            <w:pPr>
              <w:pStyle w:val="10"/>
              <w:spacing w:before="13"/>
              <w:rPr>
                <w:rFonts w:ascii="PMingLiU"/>
                <w:sz w:val="33"/>
              </w:rPr>
            </w:pPr>
          </w:p>
          <w:p>
            <w:pPr>
              <w:pStyle w:val="10"/>
              <w:spacing w:line="312" w:lineRule="auto"/>
              <w:ind w:left="680" w:right="180" w:hanging="480"/>
              <w:rPr>
                <w:sz w:val="24"/>
              </w:rPr>
            </w:pPr>
            <w:r>
              <w:rPr>
                <w:spacing w:val="-2"/>
                <w:sz w:val="24"/>
              </w:rPr>
              <w:t>市县消防救援</w:t>
            </w:r>
            <w:r>
              <w:rPr>
                <w:spacing w:val="-6"/>
                <w:sz w:val="24"/>
              </w:rPr>
              <w:t>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12" w:hRule="atLeast"/>
        </w:trPr>
        <w:tc>
          <w:tcPr>
            <w:tcW w:w="913" w:type="dxa"/>
          </w:tcPr>
          <w:p>
            <w:pPr>
              <w:pStyle w:val="10"/>
              <w:rPr>
                <w:rFonts w:ascii="PMingLiU"/>
                <w:sz w:val="32"/>
              </w:rPr>
            </w:pPr>
          </w:p>
          <w:p>
            <w:pPr>
              <w:pStyle w:val="10"/>
              <w:rPr>
                <w:rFonts w:ascii="PMingLiU"/>
                <w:sz w:val="32"/>
              </w:rPr>
            </w:pPr>
          </w:p>
          <w:p>
            <w:pPr>
              <w:pStyle w:val="10"/>
              <w:spacing w:before="12"/>
              <w:rPr>
                <w:rFonts w:ascii="PMingLiU"/>
                <w:sz w:val="21"/>
              </w:rPr>
            </w:pPr>
          </w:p>
          <w:p>
            <w:pPr>
              <w:pStyle w:val="10"/>
              <w:spacing w:before="1"/>
              <w:ind w:left="161" w:right="142"/>
              <w:jc w:val="center"/>
              <w:rPr>
                <w:rFonts w:ascii="黑体"/>
                <w:sz w:val="32"/>
              </w:rPr>
            </w:pPr>
            <w:r>
              <w:rPr>
                <w:rFonts w:ascii="黑体"/>
                <w:spacing w:val="-5"/>
                <w:sz w:val="32"/>
              </w:rPr>
              <w:t>12</w:t>
            </w:r>
          </w:p>
        </w:tc>
        <w:tc>
          <w:tcPr>
            <w:tcW w:w="2854" w:type="dxa"/>
          </w:tcPr>
          <w:p>
            <w:pPr>
              <w:pStyle w:val="10"/>
              <w:rPr>
                <w:rFonts w:ascii="PMingLiU"/>
                <w:sz w:val="24"/>
              </w:rPr>
            </w:pPr>
          </w:p>
          <w:p>
            <w:pPr>
              <w:pStyle w:val="10"/>
              <w:spacing w:before="1"/>
              <w:rPr>
                <w:rFonts w:ascii="PMingLiU"/>
                <w:sz w:val="25"/>
              </w:rPr>
            </w:pPr>
          </w:p>
          <w:p>
            <w:pPr>
              <w:pStyle w:val="10"/>
              <w:spacing w:line="312" w:lineRule="auto"/>
              <w:ind w:left="107" w:right="86"/>
              <w:jc w:val="both"/>
              <w:rPr>
                <w:sz w:val="24"/>
              </w:rPr>
            </w:pPr>
            <w:r>
              <w:rPr>
                <w:spacing w:val="21"/>
                <w:sz w:val="24"/>
              </w:rPr>
              <w:t>因维修等需要停用建筑</w:t>
            </w:r>
            <w:r>
              <w:rPr>
                <w:spacing w:val="-2"/>
                <w:sz w:val="24"/>
              </w:rPr>
              <w:t>消防设施未进行公告、未</w:t>
            </w:r>
            <w:r>
              <w:rPr>
                <w:spacing w:val="21"/>
                <w:sz w:val="24"/>
              </w:rPr>
              <w:t>制定应急预案或者未落</w:t>
            </w:r>
            <w:r>
              <w:rPr>
                <w:spacing w:val="-2"/>
                <w:sz w:val="24"/>
              </w:rPr>
              <w:t>实防范措施的</w:t>
            </w:r>
          </w:p>
        </w:tc>
        <w:tc>
          <w:tcPr>
            <w:tcW w:w="4645" w:type="dxa"/>
          </w:tcPr>
          <w:p>
            <w:pPr>
              <w:pStyle w:val="10"/>
              <w:spacing w:before="11"/>
              <w:rPr>
                <w:rFonts w:ascii="PMingLiU"/>
                <w:sz w:val="34"/>
              </w:rPr>
            </w:pPr>
          </w:p>
          <w:p>
            <w:pPr>
              <w:pStyle w:val="10"/>
              <w:spacing w:line="312" w:lineRule="auto"/>
              <w:ind w:left="107" w:right="-44"/>
              <w:jc w:val="both"/>
              <w:rPr>
                <w:sz w:val="24"/>
              </w:rPr>
            </w:pPr>
            <w:r>
              <w:rPr>
                <w:spacing w:val="3"/>
                <w:sz w:val="24"/>
              </w:rPr>
              <w:t>《高层民用建筑消防安全管理规定》第三十二条：因维修等需要停用建筑消防设施的，高层民用建筑的管理单位应当严格履行内部审批手续，制定应急方案，落实防</w:t>
            </w:r>
            <w:r>
              <w:rPr>
                <w:spacing w:val="-1"/>
                <w:sz w:val="24"/>
              </w:rPr>
              <w:t>范措施，并在建筑入口处等显著位置公告。</w:t>
            </w:r>
          </w:p>
        </w:tc>
        <w:tc>
          <w:tcPr>
            <w:tcW w:w="3919" w:type="dxa"/>
          </w:tcPr>
          <w:p>
            <w:pPr>
              <w:pStyle w:val="10"/>
              <w:rPr>
                <w:rFonts w:ascii="PMingLiU"/>
                <w:sz w:val="24"/>
              </w:rPr>
            </w:pPr>
          </w:p>
          <w:p>
            <w:pPr>
              <w:pStyle w:val="10"/>
              <w:rPr>
                <w:rFonts w:ascii="PMingLiU"/>
                <w:sz w:val="24"/>
              </w:rPr>
            </w:pPr>
          </w:p>
          <w:p>
            <w:pPr>
              <w:pStyle w:val="10"/>
              <w:spacing w:before="10"/>
              <w:rPr>
                <w:rFonts w:ascii="PMingLiU"/>
                <w:sz w:val="29"/>
              </w:rPr>
            </w:pPr>
          </w:p>
          <w:p>
            <w:pPr>
              <w:pStyle w:val="10"/>
              <w:spacing w:line="312" w:lineRule="auto"/>
              <w:ind w:left="106" w:right="87"/>
              <w:rPr>
                <w:sz w:val="24"/>
              </w:rPr>
            </w:pPr>
            <w:r>
              <w:rPr>
                <w:spacing w:val="22"/>
                <w:sz w:val="24"/>
              </w:rPr>
              <w:t>《高层民用建筑消防安全管理规</w:t>
            </w:r>
            <w:r>
              <w:rPr>
                <w:spacing w:val="-2"/>
                <w:sz w:val="24"/>
              </w:rPr>
              <w:t>定》第四十七条第一款第(六)项</w:t>
            </w:r>
          </w:p>
        </w:tc>
        <w:tc>
          <w:tcPr>
            <w:tcW w:w="1843" w:type="dxa"/>
          </w:tcPr>
          <w:p>
            <w:pPr>
              <w:pStyle w:val="10"/>
              <w:rPr>
                <w:rFonts w:ascii="PMingLiU"/>
                <w:sz w:val="24"/>
              </w:rPr>
            </w:pPr>
          </w:p>
          <w:p>
            <w:pPr>
              <w:pStyle w:val="10"/>
              <w:rPr>
                <w:rFonts w:ascii="PMingLiU"/>
                <w:sz w:val="24"/>
              </w:rPr>
            </w:pPr>
          </w:p>
          <w:p>
            <w:pPr>
              <w:pStyle w:val="10"/>
              <w:spacing w:before="10"/>
              <w:rPr>
                <w:rFonts w:ascii="PMingLiU"/>
                <w:sz w:val="29"/>
              </w:rPr>
            </w:pPr>
          </w:p>
          <w:p>
            <w:pPr>
              <w:pStyle w:val="10"/>
              <w:spacing w:line="312" w:lineRule="auto"/>
              <w:ind w:left="680" w:right="180" w:hanging="480"/>
              <w:rPr>
                <w:sz w:val="24"/>
              </w:rPr>
            </w:pPr>
            <w:r>
              <w:rPr>
                <w:spacing w:val="-2"/>
                <w:sz w:val="24"/>
              </w:rPr>
              <w:t>市县消防救援</w:t>
            </w:r>
            <w:r>
              <w:rPr>
                <w:spacing w:val="-6"/>
                <w:sz w:val="24"/>
              </w:rPr>
              <w:t>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00" w:hRule="atLeast"/>
        </w:trPr>
        <w:tc>
          <w:tcPr>
            <w:tcW w:w="913" w:type="dxa"/>
          </w:tcPr>
          <w:p>
            <w:pPr>
              <w:pStyle w:val="10"/>
              <w:rPr>
                <w:rFonts w:ascii="PMingLiU"/>
                <w:sz w:val="32"/>
              </w:rPr>
            </w:pPr>
          </w:p>
          <w:p>
            <w:pPr>
              <w:pStyle w:val="10"/>
              <w:spacing w:before="12"/>
              <w:rPr>
                <w:rFonts w:ascii="PMingLiU"/>
                <w:sz w:val="24"/>
              </w:rPr>
            </w:pPr>
          </w:p>
          <w:p>
            <w:pPr>
              <w:pStyle w:val="10"/>
              <w:spacing w:before="1"/>
              <w:ind w:left="158" w:right="142"/>
              <w:jc w:val="center"/>
              <w:rPr>
                <w:rFonts w:ascii="黑体"/>
                <w:sz w:val="32"/>
              </w:rPr>
            </w:pPr>
            <w:r>
              <w:rPr>
                <w:rFonts w:ascii="黑体"/>
                <w:spacing w:val="-5"/>
                <w:sz w:val="32"/>
              </w:rPr>
              <w:t>13</w:t>
            </w:r>
          </w:p>
        </w:tc>
        <w:tc>
          <w:tcPr>
            <w:tcW w:w="2854" w:type="dxa"/>
          </w:tcPr>
          <w:p>
            <w:pPr>
              <w:pStyle w:val="10"/>
              <w:spacing w:before="81" w:line="312" w:lineRule="auto"/>
              <w:ind w:left="107" w:right="-44"/>
              <w:rPr>
                <w:sz w:val="24"/>
              </w:rPr>
            </w:pPr>
            <w:r>
              <w:rPr>
                <w:spacing w:val="21"/>
                <w:sz w:val="24"/>
              </w:rPr>
              <w:t>在高层民用建筑的公共</w:t>
            </w:r>
            <w:r>
              <w:rPr>
                <w:spacing w:val="-14"/>
                <w:sz w:val="24"/>
              </w:rPr>
              <w:t>门厅、疏散走道、楼梯间、</w:t>
            </w:r>
            <w:r>
              <w:rPr>
                <w:spacing w:val="21"/>
                <w:sz w:val="24"/>
              </w:rPr>
              <w:t>安全出口停放电动自行车或者为电动自行车充</w:t>
            </w:r>
          </w:p>
          <w:p>
            <w:pPr>
              <w:pStyle w:val="10"/>
              <w:spacing w:before="2" w:line="298" w:lineRule="exact"/>
              <w:ind w:left="107"/>
              <w:rPr>
                <w:sz w:val="24"/>
              </w:rPr>
            </w:pPr>
            <w:r>
              <w:rPr>
                <w:spacing w:val="-2"/>
                <w:sz w:val="24"/>
              </w:rPr>
              <w:t>电，拒不改正的</w:t>
            </w:r>
          </w:p>
        </w:tc>
        <w:tc>
          <w:tcPr>
            <w:tcW w:w="4645" w:type="dxa"/>
          </w:tcPr>
          <w:p>
            <w:pPr>
              <w:pStyle w:val="10"/>
              <w:spacing w:before="1"/>
              <w:rPr>
                <w:rFonts w:ascii="PMingLiU"/>
                <w:sz w:val="20"/>
              </w:rPr>
            </w:pPr>
          </w:p>
          <w:p>
            <w:pPr>
              <w:pStyle w:val="10"/>
              <w:spacing w:line="312" w:lineRule="auto"/>
              <w:ind w:left="107" w:right="87"/>
              <w:jc w:val="both"/>
              <w:rPr>
                <w:sz w:val="24"/>
              </w:rPr>
            </w:pPr>
            <w:r>
              <w:rPr>
                <w:spacing w:val="-2"/>
                <w:sz w:val="24"/>
              </w:rPr>
              <w:t>《高层民用建筑消防安全管理规定》第三十七条：禁止在高层民用建筑公共门厅、疏散走道、楼梯间、安全出口停放电动自行车或者为电动自行车充电。</w:t>
            </w:r>
          </w:p>
        </w:tc>
        <w:tc>
          <w:tcPr>
            <w:tcW w:w="3919" w:type="dxa"/>
          </w:tcPr>
          <w:p>
            <w:pPr>
              <w:pStyle w:val="10"/>
              <w:rPr>
                <w:rFonts w:ascii="PMingLiU"/>
                <w:sz w:val="24"/>
              </w:rPr>
            </w:pPr>
          </w:p>
          <w:p>
            <w:pPr>
              <w:pStyle w:val="10"/>
              <w:spacing w:before="10"/>
              <w:rPr>
                <w:rFonts w:ascii="PMingLiU"/>
                <w:sz w:val="24"/>
              </w:rPr>
            </w:pPr>
          </w:p>
          <w:p>
            <w:pPr>
              <w:pStyle w:val="10"/>
              <w:spacing w:line="312" w:lineRule="auto"/>
              <w:ind w:left="106" w:right="87"/>
              <w:rPr>
                <w:sz w:val="24"/>
              </w:rPr>
            </w:pPr>
            <w:r>
              <w:rPr>
                <w:spacing w:val="22"/>
                <w:sz w:val="24"/>
              </w:rPr>
              <w:t>《高层民用建筑消防安全管理规</w:t>
            </w:r>
            <w:r>
              <w:rPr>
                <w:spacing w:val="-2"/>
                <w:sz w:val="24"/>
              </w:rPr>
              <w:t>定》第四十七条第一款第(七)项</w:t>
            </w:r>
          </w:p>
        </w:tc>
        <w:tc>
          <w:tcPr>
            <w:tcW w:w="1843" w:type="dxa"/>
          </w:tcPr>
          <w:p>
            <w:pPr>
              <w:pStyle w:val="10"/>
              <w:rPr>
                <w:rFonts w:ascii="PMingLiU"/>
                <w:sz w:val="24"/>
              </w:rPr>
            </w:pPr>
          </w:p>
          <w:p>
            <w:pPr>
              <w:pStyle w:val="10"/>
              <w:spacing w:before="10"/>
              <w:rPr>
                <w:rFonts w:ascii="PMingLiU"/>
                <w:sz w:val="24"/>
              </w:rPr>
            </w:pPr>
          </w:p>
          <w:p>
            <w:pPr>
              <w:pStyle w:val="10"/>
              <w:spacing w:line="312" w:lineRule="auto"/>
              <w:ind w:left="680" w:right="180" w:hanging="480"/>
              <w:rPr>
                <w:sz w:val="24"/>
              </w:rPr>
            </w:pPr>
            <w:r>
              <w:rPr>
                <w:spacing w:val="-2"/>
                <w:sz w:val="24"/>
              </w:rPr>
              <w:t>市县消防救援</w:t>
            </w:r>
            <w:r>
              <w:rPr>
                <w:spacing w:val="-6"/>
                <w:sz w:val="24"/>
              </w:rPr>
              <w:t>部门</w:t>
            </w:r>
          </w:p>
        </w:tc>
      </w:tr>
    </w:tbl>
    <w:p>
      <w:pPr>
        <w:spacing w:after="0" w:line="312" w:lineRule="auto"/>
        <w:rPr>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2650"/>
        <w:gridCol w:w="3512"/>
        <w:gridCol w:w="5054"/>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4115" w:type="dxa"/>
            <w:gridSpan w:val="5"/>
          </w:tcPr>
          <w:p>
            <w:pPr>
              <w:pStyle w:val="10"/>
              <w:spacing w:before="133"/>
              <w:ind w:left="5652" w:right="5643"/>
              <w:jc w:val="center"/>
              <w:rPr>
                <w:rFonts w:ascii="黑体" w:eastAsia="黑体"/>
                <w:sz w:val="28"/>
              </w:rPr>
            </w:pPr>
            <w:bookmarkStart w:id="11" w:name="_bookmark4"/>
            <w:bookmarkEnd w:id="11"/>
            <w:r>
              <w:rPr>
                <w:rFonts w:ascii="黑体" w:eastAsia="黑体"/>
                <w:spacing w:val="-3"/>
                <w:sz w:val="28"/>
              </w:rPr>
              <w:t>国防动员部门执法事项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28" w:type="dxa"/>
          </w:tcPr>
          <w:p>
            <w:pPr>
              <w:pStyle w:val="10"/>
              <w:spacing w:before="133"/>
              <w:ind w:left="269" w:right="260"/>
              <w:jc w:val="center"/>
              <w:rPr>
                <w:rFonts w:ascii="黑体" w:eastAsia="黑体"/>
                <w:sz w:val="28"/>
              </w:rPr>
            </w:pPr>
            <w:r>
              <w:rPr>
                <w:rFonts w:ascii="黑体" w:eastAsia="黑体"/>
                <w:spacing w:val="-6"/>
                <w:sz w:val="28"/>
              </w:rPr>
              <w:t>序号</w:t>
            </w:r>
          </w:p>
        </w:tc>
        <w:tc>
          <w:tcPr>
            <w:tcW w:w="2650" w:type="dxa"/>
          </w:tcPr>
          <w:p>
            <w:pPr>
              <w:pStyle w:val="10"/>
              <w:spacing w:before="133"/>
              <w:ind w:left="484"/>
              <w:rPr>
                <w:rFonts w:ascii="黑体" w:eastAsia="黑体"/>
                <w:sz w:val="28"/>
              </w:rPr>
            </w:pPr>
            <w:r>
              <w:rPr>
                <w:rFonts w:ascii="黑体" w:eastAsia="黑体"/>
                <w:spacing w:val="-4"/>
                <w:sz w:val="28"/>
              </w:rPr>
              <w:t>信访投诉事由</w:t>
            </w:r>
          </w:p>
        </w:tc>
        <w:tc>
          <w:tcPr>
            <w:tcW w:w="3512" w:type="dxa"/>
          </w:tcPr>
          <w:p>
            <w:pPr>
              <w:pStyle w:val="10"/>
              <w:spacing w:before="133"/>
              <w:ind w:left="1183" w:right="1175"/>
              <w:jc w:val="center"/>
              <w:rPr>
                <w:rFonts w:ascii="黑体" w:eastAsia="黑体"/>
                <w:sz w:val="28"/>
              </w:rPr>
            </w:pPr>
            <w:r>
              <w:rPr>
                <w:rFonts w:ascii="黑体" w:eastAsia="黑体"/>
                <w:spacing w:val="-4"/>
                <w:sz w:val="28"/>
              </w:rPr>
              <w:t>相关规定</w:t>
            </w:r>
          </w:p>
        </w:tc>
        <w:tc>
          <w:tcPr>
            <w:tcW w:w="5054" w:type="dxa"/>
          </w:tcPr>
          <w:p>
            <w:pPr>
              <w:pStyle w:val="10"/>
              <w:spacing w:before="133"/>
              <w:ind w:left="1954" w:right="1944"/>
              <w:jc w:val="center"/>
              <w:rPr>
                <w:rFonts w:ascii="黑体" w:eastAsia="黑体"/>
                <w:sz w:val="28"/>
              </w:rPr>
            </w:pPr>
            <w:r>
              <w:rPr>
                <w:rFonts w:ascii="黑体" w:eastAsia="黑体"/>
                <w:spacing w:val="-4"/>
                <w:sz w:val="28"/>
              </w:rPr>
              <w:t>处理依据</w:t>
            </w:r>
          </w:p>
        </w:tc>
        <w:tc>
          <w:tcPr>
            <w:tcW w:w="1771" w:type="dxa"/>
          </w:tcPr>
          <w:p>
            <w:pPr>
              <w:pStyle w:val="10"/>
              <w:spacing w:before="133"/>
              <w:ind w:left="325"/>
              <w:rPr>
                <w:rFonts w:ascii="黑体" w:eastAsia="黑体"/>
                <w:sz w:val="28"/>
              </w:rPr>
            </w:pPr>
            <w:r>
              <w:rPr>
                <w:rFonts w:ascii="黑体" w:eastAsia="黑体"/>
                <w:spacing w:val="-4"/>
                <w:sz w:val="28"/>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28" w:type="dxa"/>
            <w:tcBorders>
              <w:bottom w:val="nil"/>
            </w:tcBorders>
          </w:tcPr>
          <w:p>
            <w:pPr>
              <w:pStyle w:val="10"/>
              <w:rPr>
                <w:rFonts w:ascii="Times New Roman"/>
                <w:sz w:val="24"/>
              </w:rPr>
            </w:pPr>
          </w:p>
        </w:tc>
        <w:tc>
          <w:tcPr>
            <w:tcW w:w="2650" w:type="dxa"/>
            <w:tcBorders>
              <w:bottom w:val="nil"/>
            </w:tcBorders>
          </w:tcPr>
          <w:p>
            <w:pPr>
              <w:pStyle w:val="10"/>
              <w:rPr>
                <w:rFonts w:ascii="Times New Roman"/>
                <w:sz w:val="24"/>
              </w:rPr>
            </w:pPr>
          </w:p>
        </w:tc>
        <w:tc>
          <w:tcPr>
            <w:tcW w:w="3512" w:type="dxa"/>
            <w:tcBorders>
              <w:bottom w:val="nil"/>
            </w:tcBorders>
          </w:tcPr>
          <w:p>
            <w:pPr>
              <w:pStyle w:val="10"/>
              <w:spacing w:before="4"/>
              <w:rPr>
                <w:rFonts w:ascii="PMingLiU"/>
                <w:sz w:val="34"/>
              </w:rPr>
            </w:pPr>
          </w:p>
          <w:p>
            <w:pPr>
              <w:pStyle w:val="10"/>
              <w:ind w:left="107"/>
              <w:rPr>
                <w:sz w:val="24"/>
              </w:rPr>
            </w:pPr>
            <w:r>
              <w:rPr>
                <w:spacing w:val="-9"/>
                <w:sz w:val="24"/>
              </w:rPr>
              <w:t>《安徽省实施〈中华人民共和国</w:t>
            </w:r>
          </w:p>
        </w:tc>
        <w:tc>
          <w:tcPr>
            <w:tcW w:w="5054" w:type="dxa"/>
            <w:vMerge w:val="restart"/>
          </w:tcPr>
          <w:p>
            <w:pPr>
              <w:pStyle w:val="10"/>
              <w:spacing w:line="360" w:lineRule="exact"/>
              <w:ind w:left="106" w:right="-29"/>
              <w:rPr>
                <w:sz w:val="24"/>
              </w:rPr>
            </w:pPr>
            <w:r>
              <w:rPr>
                <w:spacing w:val="-2"/>
                <w:sz w:val="24"/>
              </w:rPr>
              <w:t>《安徽省实施&lt;中华人民共和国人民防空法&gt;办法》第四十五条：违反本办法第二十二条第一款、第二十八条第三项至五项、第二十九条第一款、第三十二条第二款至四款规定，有下列行为之一的，由市或者县人民政府人民防空主</w:t>
            </w:r>
            <w:r>
              <w:rPr>
                <w:sz w:val="24"/>
              </w:rPr>
              <w:t>管部门责令限 期改正，给予警告，可以对个人</w:t>
            </w:r>
            <w:r>
              <w:rPr>
                <w:spacing w:val="-2"/>
                <w:sz w:val="24"/>
              </w:rPr>
              <w:t>并处一千元以上五千元以下的罚款，对单位并</w:t>
            </w:r>
            <w:r>
              <w:rPr>
                <w:spacing w:val="-8"/>
                <w:sz w:val="24"/>
              </w:rPr>
              <w:t>处一万元以上五万元以下的罚款；造成损失的，</w:t>
            </w:r>
            <w:r>
              <w:rPr>
                <w:spacing w:val="-2"/>
                <w:sz w:val="24"/>
              </w:rPr>
              <w:t>应当依法赔偿损失：(二)向人民防空工程内排入废水、废气或者倾倒废弃物的。</w:t>
            </w:r>
          </w:p>
        </w:tc>
        <w:tc>
          <w:tcPr>
            <w:tcW w:w="1771" w:type="dxa"/>
            <w:tcBorders>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1"/>
              <w:ind w:left="107"/>
              <w:rPr>
                <w:sz w:val="24"/>
              </w:rPr>
            </w:pPr>
            <w:r>
              <w:rPr>
                <w:spacing w:val="-7"/>
                <w:sz w:val="24"/>
              </w:rPr>
              <w:t>人民防空法〉办法》第二十八条</w:t>
            </w:r>
          </w:p>
        </w:tc>
        <w:tc>
          <w:tcPr>
            <w:tcW w:w="5054" w:type="dxa"/>
            <w:vMerge w:val="continue"/>
            <w:tcBorders>
              <w:top w:val="nil"/>
            </w:tcBorders>
          </w:tcPr>
          <w:p>
            <w:pPr>
              <w:rPr>
                <w:sz w:val="2"/>
                <w:szCs w:val="2"/>
              </w:rPr>
            </w:pP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1128" w:type="dxa"/>
            <w:tcBorders>
              <w:top w:val="nil"/>
              <w:bottom w:val="nil"/>
            </w:tcBorders>
          </w:tcPr>
          <w:p>
            <w:pPr>
              <w:pStyle w:val="10"/>
              <w:spacing w:before="5"/>
              <w:rPr>
                <w:rFonts w:ascii="PMingLiU"/>
                <w:sz w:val="25"/>
              </w:rPr>
            </w:pPr>
          </w:p>
          <w:p>
            <w:pPr>
              <w:pStyle w:val="10"/>
              <w:ind w:left="10"/>
              <w:jc w:val="center"/>
              <w:rPr>
                <w:rFonts w:ascii="黑体"/>
                <w:sz w:val="32"/>
              </w:rPr>
            </w:pPr>
            <w:r>
              <w:rPr>
                <w:rFonts w:ascii="黑体"/>
                <w:w w:val="99"/>
                <w:sz w:val="32"/>
              </w:rPr>
              <w:t>1</w:t>
            </w:r>
          </w:p>
        </w:tc>
        <w:tc>
          <w:tcPr>
            <w:tcW w:w="2650" w:type="dxa"/>
            <w:tcBorders>
              <w:top w:val="nil"/>
              <w:bottom w:val="nil"/>
            </w:tcBorders>
          </w:tcPr>
          <w:p>
            <w:pPr>
              <w:pStyle w:val="10"/>
              <w:spacing w:before="41" w:line="312" w:lineRule="auto"/>
              <w:ind w:left="107" w:right="96"/>
              <w:rPr>
                <w:sz w:val="24"/>
              </w:rPr>
            </w:pPr>
            <w:r>
              <w:rPr>
                <w:spacing w:val="28"/>
                <w:sz w:val="24"/>
              </w:rPr>
              <w:t>向人防工程内排入废</w:t>
            </w:r>
            <w:r>
              <w:rPr>
                <w:spacing w:val="-1"/>
                <w:sz w:val="24"/>
              </w:rPr>
              <w:t>水、废气或者倾倒废弃</w:t>
            </w:r>
          </w:p>
          <w:p>
            <w:pPr>
              <w:pStyle w:val="10"/>
              <w:spacing w:line="307" w:lineRule="exact"/>
              <w:ind w:left="107"/>
              <w:rPr>
                <w:sz w:val="24"/>
              </w:rPr>
            </w:pPr>
            <w:r>
              <w:rPr>
                <w:sz w:val="24"/>
              </w:rPr>
              <w:t>物</w:t>
            </w:r>
          </w:p>
        </w:tc>
        <w:tc>
          <w:tcPr>
            <w:tcW w:w="3512" w:type="dxa"/>
            <w:tcBorders>
              <w:top w:val="nil"/>
              <w:bottom w:val="nil"/>
            </w:tcBorders>
          </w:tcPr>
          <w:p>
            <w:pPr>
              <w:pStyle w:val="10"/>
              <w:spacing w:before="41" w:line="312" w:lineRule="auto"/>
              <w:ind w:left="107" w:right="97"/>
              <w:rPr>
                <w:sz w:val="24"/>
              </w:rPr>
            </w:pPr>
            <w:r>
              <w:rPr>
                <w:spacing w:val="-10"/>
                <w:sz w:val="24"/>
              </w:rPr>
              <w:t>第三项：禁止下列危害人民防空</w:t>
            </w:r>
            <w:r>
              <w:rPr>
                <w:spacing w:val="12"/>
                <w:sz w:val="24"/>
              </w:rPr>
              <w:t>工程安全和使用效能的行为：</w:t>
            </w:r>
          </w:p>
          <w:p>
            <w:pPr>
              <w:pStyle w:val="10"/>
              <w:spacing w:line="307" w:lineRule="exact"/>
              <w:ind w:left="107"/>
              <w:rPr>
                <w:sz w:val="24"/>
              </w:rPr>
            </w:pPr>
            <w:r>
              <w:rPr>
                <w:sz w:val="24"/>
              </w:rPr>
              <w:t>（三</w:t>
            </w:r>
            <w:r>
              <w:rPr>
                <w:spacing w:val="-65"/>
                <w:sz w:val="24"/>
              </w:rPr>
              <w:t>）</w:t>
            </w:r>
            <w:r>
              <w:rPr>
                <w:spacing w:val="-1"/>
                <w:sz w:val="24"/>
              </w:rPr>
              <w:t>向人民防空工程内部及其</w:t>
            </w:r>
          </w:p>
        </w:tc>
        <w:tc>
          <w:tcPr>
            <w:tcW w:w="5054" w:type="dxa"/>
            <w:vMerge w:val="continue"/>
            <w:tcBorders>
              <w:top w:val="nil"/>
            </w:tcBorders>
          </w:tcPr>
          <w:p>
            <w:pPr>
              <w:rPr>
                <w:sz w:val="2"/>
                <w:szCs w:val="2"/>
              </w:rPr>
            </w:pPr>
          </w:p>
        </w:tc>
        <w:tc>
          <w:tcPr>
            <w:tcW w:w="1771" w:type="dxa"/>
            <w:tcBorders>
              <w:top w:val="nil"/>
              <w:bottom w:val="nil"/>
            </w:tcBorders>
          </w:tcPr>
          <w:p>
            <w:pPr>
              <w:pStyle w:val="10"/>
              <w:spacing w:before="3"/>
              <w:rPr>
                <w:rFonts w:ascii="PMingLiU"/>
                <w:sz w:val="17"/>
              </w:rPr>
            </w:pPr>
          </w:p>
          <w:p>
            <w:pPr>
              <w:pStyle w:val="10"/>
              <w:spacing w:line="312" w:lineRule="auto"/>
              <w:ind w:left="404" w:right="154" w:hanging="240"/>
              <w:rPr>
                <w:sz w:val="24"/>
              </w:rPr>
            </w:pPr>
            <w:r>
              <w:rPr>
                <w:spacing w:val="-2"/>
                <w:sz w:val="24"/>
              </w:rPr>
              <w:t>市县国防动员</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1"/>
              <w:ind w:left="107"/>
              <w:rPr>
                <w:sz w:val="24"/>
              </w:rPr>
            </w:pPr>
            <w:r>
              <w:rPr>
                <w:spacing w:val="-7"/>
                <w:sz w:val="24"/>
              </w:rPr>
              <w:t>孔、口排入废气、废水和倾倒废</w:t>
            </w:r>
          </w:p>
        </w:tc>
        <w:tc>
          <w:tcPr>
            <w:tcW w:w="5054" w:type="dxa"/>
            <w:vMerge w:val="continue"/>
            <w:tcBorders>
              <w:top w:val="nil"/>
            </w:tcBorders>
          </w:tcPr>
          <w:p>
            <w:pPr>
              <w:rPr>
                <w:sz w:val="2"/>
                <w:szCs w:val="2"/>
              </w:rPr>
            </w:pP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28" w:type="dxa"/>
            <w:tcBorders>
              <w:top w:val="nil"/>
            </w:tcBorders>
          </w:tcPr>
          <w:p>
            <w:pPr>
              <w:pStyle w:val="10"/>
              <w:rPr>
                <w:rFonts w:ascii="Times New Roman"/>
                <w:sz w:val="24"/>
              </w:rPr>
            </w:pPr>
          </w:p>
        </w:tc>
        <w:tc>
          <w:tcPr>
            <w:tcW w:w="2650" w:type="dxa"/>
            <w:tcBorders>
              <w:top w:val="nil"/>
            </w:tcBorders>
          </w:tcPr>
          <w:p>
            <w:pPr>
              <w:pStyle w:val="10"/>
              <w:rPr>
                <w:rFonts w:ascii="Times New Roman"/>
                <w:sz w:val="24"/>
              </w:rPr>
            </w:pPr>
          </w:p>
        </w:tc>
        <w:tc>
          <w:tcPr>
            <w:tcW w:w="3512" w:type="dxa"/>
            <w:tcBorders>
              <w:top w:val="nil"/>
            </w:tcBorders>
          </w:tcPr>
          <w:p>
            <w:pPr>
              <w:pStyle w:val="10"/>
              <w:spacing w:before="40"/>
              <w:ind w:left="107"/>
              <w:rPr>
                <w:sz w:val="24"/>
              </w:rPr>
            </w:pPr>
            <w:r>
              <w:rPr>
                <w:spacing w:val="-4"/>
                <w:sz w:val="24"/>
              </w:rPr>
              <w:t>弃物。</w:t>
            </w:r>
          </w:p>
        </w:tc>
        <w:tc>
          <w:tcPr>
            <w:tcW w:w="5054" w:type="dxa"/>
            <w:vMerge w:val="continue"/>
            <w:tcBorders>
              <w:top w:val="nil"/>
            </w:tcBorders>
          </w:tcPr>
          <w:p>
            <w:pPr>
              <w:rPr>
                <w:sz w:val="2"/>
                <w:szCs w:val="2"/>
              </w:rPr>
            </w:pPr>
          </w:p>
        </w:tc>
        <w:tc>
          <w:tcPr>
            <w:tcW w:w="1771" w:type="dxa"/>
            <w:tcBorders>
              <w:top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128" w:type="dxa"/>
            <w:tcBorders>
              <w:bottom w:val="nil"/>
            </w:tcBorders>
          </w:tcPr>
          <w:p>
            <w:pPr>
              <w:pStyle w:val="10"/>
              <w:rPr>
                <w:rFonts w:ascii="Times New Roman"/>
                <w:sz w:val="24"/>
              </w:rPr>
            </w:pPr>
          </w:p>
        </w:tc>
        <w:tc>
          <w:tcPr>
            <w:tcW w:w="2650" w:type="dxa"/>
            <w:tcBorders>
              <w:bottom w:val="nil"/>
            </w:tcBorders>
          </w:tcPr>
          <w:p>
            <w:pPr>
              <w:pStyle w:val="10"/>
              <w:rPr>
                <w:rFonts w:ascii="Times New Roman"/>
                <w:sz w:val="24"/>
              </w:rPr>
            </w:pPr>
          </w:p>
        </w:tc>
        <w:tc>
          <w:tcPr>
            <w:tcW w:w="3512" w:type="dxa"/>
            <w:tcBorders>
              <w:bottom w:val="nil"/>
            </w:tcBorders>
          </w:tcPr>
          <w:p>
            <w:pPr>
              <w:pStyle w:val="10"/>
              <w:rPr>
                <w:rFonts w:ascii="PMingLiU"/>
                <w:sz w:val="24"/>
              </w:rPr>
            </w:pPr>
          </w:p>
          <w:p>
            <w:pPr>
              <w:pStyle w:val="10"/>
              <w:spacing w:before="10"/>
              <w:rPr>
                <w:rFonts w:ascii="PMingLiU"/>
                <w:sz w:val="24"/>
              </w:rPr>
            </w:pPr>
          </w:p>
          <w:p>
            <w:pPr>
              <w:pStyle w:val="10"/>
              <w:ind w:left="107"/>
              <w:rPr>
                <w:sz w:val="24"/>
              </w:rPr>
            </w:pPr>
            <w:r>
              <w:rPr>
                <w:spacing w:val="-9"/>
                <w:sz w:val="24"/>
              </w:rPr>
              <w:t>《安徽省实施〈中华人民共和国</w:t>
            </w:r>
          </w:p>
        </w:tc>
        <w:tc>
          <w:tcPr>
            <w:tcW w:w="5054" w:type="dxa"/>
            <w:vMerge w:val="restart"/>
          </w:tcPr>
          <w:p>
            <w:pPr>
              <w:pStyle w:val="10"/>
              <w:spacing w:line="360" w:lineRule="exact"/>
              <w:ind w:left="106" w:right="97"/>
              <w:jc w:val="both"/>
              <w:rPr>
                <w:sz w:val="24"/>
              </w:rPr>
            </w:pPr>
            <w:r>
              <w:rPr>
                <w:sz w:val="24"/>
              </w:rPr>
              <w:t>《安徽省实施&lt;中华人民共和 国人民防空法&gt;</w:t>
            </w:r>
            <w:r>
              <w:rPr>
                <w:spacing w:val="-1"/>
                <w:sz w:val="24"/>
              </w:rPr>
              <w:t>办法》 第四十五条： 违反本办法第二十二条</w:t>
            </w:r>
            <w:r>
              <w:rPr>
                <w:spacing w:val="-9"/>
                <w:sz w:val="24"/>
              </w:rPr>
              <w:t>第 一款、第二十八条第三项至五项、第二十九</w:t>
            </w:r>
            <w:r>
              <w:rPr>
                <w:spacing w:val="-7"/>
                <w:sz w:val="24"/>
              </w:rPr>
              <w:t>条第一款、第三十 二条第二款至四款规定，有</w:t>
            </w:r>
            <w:r>
              <w:rPr>
                <w:spacing w:val="-11"/>
                <w:sz w:val="24"/>
              </w:rPr>
              <w:t>下列行为之一的，由市或者县人民 政府人民防</w:t>
            </w:r>
            <w:r>
              <w:rPr>
                <w:spacing w:val="-2"/>
                <w:sz w:val="24"/>
              </w:rPr>
              <w:t>空主管部门责令限期改正，给予警告，可以对</w:t>
            </w:r>
            <w:r>
              <w:rPr>
                <w:spacing w:val="-10"/>
                <w:sz w:val="24"/>
              </w:rPr>
              <w:t>个人 并处一千元以上五千元以下的罚款，对单</w:t>
            </w:r>
            <w:r>
              <w:rPr>
                <w:spacing w:val="-2"/>
                <w:sz w:val="24"/>
              </w:rPr>
              <w:t>位并处一万元以上五万元以下的罚款；造成损失的，应当依法赔偿损失：(三)侵占人民防空</w:t>
            </w:r>
            <w:r>
              <w:rPr>
                <w:spacing w:val="-4"/>
                <w:sz w:val="24"/>
              </w:rPr>
              <w:t>工程的。</w:t>
            </w:r>
          </w:p>
        </w:tc>
        <w:tc>
          <w:tcPr>
            <w:tcW w:w="1771" w:type="dxa"/>
            <w:tcBorders>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1"/>
              <w:ind w:left="107"/>
              <w:rPr>
                <w:sz w:val="24"/>
              </w:rPr>
            </w:pPr>
            <w:r>
              <w:rPr>
                <w:spacing w:val="-7"/>
                <w:sz w:val="24"/>
              </w:rPr>
              <w:t>人民防空法〉办法》第二十八条</w:t>
            </w:r>
          </w:p>
        </w:tc>
        <w:tc>
          <w:tcPr>
            <w:tcW w:w="5054" w:type="dxa"/>
            <w:vMerge w:val="continue"/>
            <w:tcBorders>
              <w:top w:val="nil"/>
            </w:tcBorders>
          </w:tcPr>
          <w:p>
            <w:pPr>
              <w:rPr>
                <w:sz w:val="2"/>
                <w:szCs w:val="2"/>
              </w:rPr>
            </w:pP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28" w:type="dxa"/>
            <w:tcBorders>
              <w:top w:val="nil"/>
              <w:bottom w:val="nil"/>
            </w:tcBorders>
          </w:tcPr>
          <w:p>
            <w:pPr>
              <w:pStyle w:val="10"/>
              <w:spacing w:before="155"/>
              <w:ind w:left="10"/>
              <w:jc w:val="center"/>
              <w:rPr>
                <w:rFonts w:ascii="黑体"/>
                <w:sz w:val="32"/>
              </w:rPr>
            </w:pPr>
            <w:r>
              <w:rPr>
                <w:rFonts w:ascii="黑体"/>
                <w:w w:val="99"/>
                <w:sz w:val="32"/>
              </w:rPr>
              <w:t>2</w:t>
            </w:r>
          </w:p>
        </w:tc>
        <w:tc>
          <w:tcPr>
            <w:tcW w:w="2650" w:type="dxa"/>
            <w:tcBorders>
              <w:top w:val="nil"/>
              <w:bottom w:val="nil"/>
            </w:tcBorders>
          </w:tcPr>
          <w:p>
            <w:pPr>
              <w:pStyle w:val="10"/>
              <w:spacing w:before="4"/>
              <w:rPr>
                <w:rFonts w:ascii="PMingLiU"/>
                <w:sz w:val="17"/>
              </w:rPr>
            </w:pPr>
          </w:p>
          <w:p>
            <w:pPr>
              <w:pStyle w:val="10"/>
              <w:ind w:left="107"/>
              <w:rPr>
                <w:sz w:val="24"/>
              </w:rPr>
            </w:pPr>
            <w:r>
              <w:rPr>
                <w:spacing w:val="-2"/>
                <w:sz w:val="24"/>
              </w:rPr>
              <w:t>侵占人防工程</w:t>
            </w:r>
          </w:p>
        </w:tc>
        <w:tc>
          <w:tcPr>
            <w:tcW w:w="3512" w:type="dxa"/>
            <w:tcBorders>
              <w:top w:val="nil"/>
              <w:bottom w:val="nil"/>
            </w:tcBorders>
          </w:tcPr>
          <w:p>
            <w:pPr>
              <w:pStyle w:val="10"/>
              <w:spacing w:before="40"/>
              <w:ind w:left="107"/>
              <w:rPr>
                <w:sz w:val="24"/>
              </w:rPr>
            </w:pPr>
            <w:r>
              <w:rPr>
                <w:spacing w:val="-10"/>
                <w:sz w:val="24"/>
              </w:rPr>
              <w:t>第四项：禁止下列危害人民防空</w:t>
            </w:r>
          </w:p>
          <w:p>
            <w:pPr>
              <w:pStyle w:val="10"/>
              <w:spacing w:before="93"/>
              <w:ind w:left="107"/>
              <w:rPr>
                <w:sz w:val="24"/>
              </w:rPr>
            </w:pPr>
            <w:r>
              <w:rPr>
                <w:spacing w:val="-1"/>
                <w:sz w:val="24"/>
              </w:rPr>
              <w:t>工程安全和使用效能的行为：</w:t>
            </w:r>
          </w:p>
        </w:tc>
        <w:tc>
          <w:tcPr>
            <w:tcW w:w="5054" w:type="dxa"/>
            <w:vMerge w:val="continue"/>
            <w:tcBorders>
              <w:top w:val="nil"/>
            </w:tcBorders>
          </w:tcPr>
          <w:p>
            <w:pPr>
              <w:rPr>
                <w:sz w:val="2"/>
                <w:szCs w:val="2"/>
              </w:rPr>
            </w:pPr>
          </w:p>
        </w:tc>
        <w:tc>
          <w:tcPr>
            <w:tcW w:w="1771" w:type="dxa"/>
            <w:tcBorders>
              <w:top w:val="nil"/>
              <w:bottom w:val="nil"/>
            </w:tcBorders>
          </w:tcPr>
          <w:p>
            <w:pPr>
              <w:pStyle w:val="10"/>
              <w:spacing w:before="40"/>
              <w:ind w:left="150" w:right="142"/>
              <w:jc w:val="center"/>
              <w:rPr>
                <w:sz w:val="24"/>
              </w:rPr>
            </w:pPr>
            <w:r>
              <w:rPr>
                <w:spacing w:val="-2"/>
                <w:sz w:val="24"/>
              </w:rPr>
              <w:t>市县国防动员</w:t>
            </w:r>
          </w:p>
          <w:p>
            <w:pPr>
              <w:pStyle w:val="10"/>
              <w:spacing w:before="93"/>
              <w:ind w:left="150" w:right="142"/>
              <w:jc w:val="center"/>
              <w:rPr>
                <w:sz w:val="24"/>
              </w:rPr>
            </w:pPr>
            <w:r>
              <w:rPr>
                <w:spacing w:val="-3"/>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1"/>
              <w:ind w:left="107"/>
              <w:rPr>
                <w:sz w:val="24"/>
              </w:rPr>
            </w:pPr>
            <w:r>
              <w:rPr>
                <w:spacing w:val="-6"/>
                <w:sz w:val="24"/>
              </w:rPr>
              <w:t>（四）</w:t>
            </w:r>
            <w:r>
              <w:rPr>
                <w:spacing w:val="-7"/>
                <w:sz w:val="24"/>
              </w:rPr>
              <w:t>侵占、堵塞、毁坏人民防</w:t>
            </w:r>
          </w:p>
        </w:tc>
        <w:tc>
          <w:tcPr>
            <w:tcW w:w="5054" w:type="dxa"/>
            <w:vMerge w:val="continue"/>
            <w:tcBorders>
              <w:top w:val="nil"/>
            </w:tcBorders>
          </w:tcPr>
          <w:p>
            <w:pPr>
              <w:rPr>
                <w:sz w:val="2"/>
                <w:szCs w:val="2"/>
              </w:rPr>
            </w:pP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128" w:type="dxa"/>
            <w:tcBorders>
              <w:top w:val="nil"/>
            </w:tcBorders>
          </w:tcPr>
          <w:p>
            <w:pPr>
              <w:pStyle w:val="10"/>
              <w:rPr>
                <w:rFonts w:ascii="Times New Roman"/>
                <w:sz w:val="24"/>
              </w:rPr>
            </w:pPr>
          </w:p>
        </w:tc>
        <w:tc>
          <w:tcPr>
            <w:tcW w:w="2650" w:type="dxa"/>
            <w:tcBorders>
              <w:top w:val="nil"/>
            </w:tcBorders>
          </w:tcPr>
          <w:p>
            <w:pPr>
              <w:pStyle w:val="10"/>
              <w:rPr>
                <w:rFonts w:ascii="Times New Roman"/>
                <w:sz w:val="24"/>
              </w:rPr>
            </w:pPr>
          </w:p>
        </w:tc>
        <w:tc>
          <w:tcPr>
            <w:tcW w:w="3512" w:type="dxa"/>
            <w:tcBorders>
              <w:top w:val="nil"/>
            </w:tcBorders>
          </w:tcPr>
          <w:p>
            <w:pPr>
              <w:pStyle w:val="10"/>
              <w:spacing w:before="40"/>
              <w:ind w:left="107"/>
              <w:rPr>
                <w:sz w:val="24"/>
              </w:rPr>
            </w:pPr>
            <w:r>
              <w:rPr>
                <w:spacing w:val="-2"/>
                <w:sz w:val="24"/>
              </w:rPr>
              <w:t>空工程及其出入口。</w:t>
            </w:r>
          </w:p>
        </w:tc>
        <w:tc>
          <w:tcPr>
            <w:tcW w:w="5054" w:type="dxa"/>
            <w:vMerge w:val="continue"/>
            <w:tcBorders>
              <w:top w:val="nil"/>
            </w:tcBorders>
          </w:tcPr>
          <w:p>
            <w:pPr>
              <w:rPr>
                <w:sz w:val="2"/>
                <w:szCs w:val="2"/>
              </w:rPr>
            </w:pPr>
          </w:p>
        </w:tc>
        <w:tc>
          <w:tcPr>
            <w:tcW w:w="1771" w:type="dxa"/>
            <w:tcBorders>
              <w:top w:val="nil"/>
            </w:tcBorders>
          </w:tcPr>
          <w:p>
            <w:pPr>
              <w:pStyle w:val="10"/>
              <w:rPr>
                <w:rFonts w:ascii="Times New Roman"/>
                <w:sz w:val="24"/>
              </w:rPr>
            </w:pPr>
          </w:p>
        </w:tc>
      </w:tr>
    </w:tbl>
    <w:p>
      <w:pPr>
        <w:spacing w:after="0"/>
        <w:rPr>
          <w:rFonts w:ascii="Times New Roman"/>
          <w:sz w:val="24"/>
        </w:rPr>
        <w:sectPr>
          <w:pgSz w:w="16840" w:h="11910" w:orient="landscape"/>
          <w:pgMar w:top="1340" w:right="1220" w:bottom="1160" w:left="1100" w:header="0" w:footer="972" w:gutter="0"/>
          <w:cols w:space="720" w:num="1"/>
        </w:sectPr>
      </w:pPr>
    </w:p>
    <w:p>
      <w:pPr>
        <w:pStyle w:val="3"/>
        <w:spacing w:before="3"/>
        <w:rPr>
          <w:rFonts w:ascii="PMingLiU"/>
          <w:sz w:val="13"/>
        </w:rPr>
      </w:pPr>
    </w:p>
    <w:tbl>
      <w:tblPr>
        <w:tblStyle w:val="6"/>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2650"/>
        <w:gridCol w:w="3512"/>
        <w:gridCol w:w="5054"/>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28" w:type="dxa"/>
            <w:tcBorders>
              <w:bottom w:val="nil"/>
            </w:tcBorders>
          </w:tcPr>
          <w:p>
            <w:pPr>
              <w:pStyle w:val="10"/>
              <w:rPr>
                <w:rFonts w:ascii="Times New Roman"/>
                <w:sz w:val="24"/>
              </w:rPr>
            </w:pPr>
          </w:p>
        </w:tc>
        <w:tc>
          <w:tcPr>
            <w:tcW w:w="2650" w:type="dxa"/>
            <w:tcBorders>
              <w:bottom w:val="nil"/>
            </w:tcBorders>
          </w:tcPr>
          <w:p>
            <w:pPr>
              <w:pStyle w:val="10"/>
              <w:rPr>
                <w:rFonts w:ascii="Times New Roman"/>
                <w:sz w:val="24"/>
              </w:rPr>
            </w:pPr>
          </w:p>
        </w:tc>
        <w:tc>
          <w:tcPr>
            <w:tcW w:w="3512" w:type="dxa"/>
            <w:tcBorders>
              <w:bottom w:val="nil"/>
            </w:tcBorders>
          </w:tcPr>
          <w:p>
            <w:pPr>
              <w:pStyle w:val="10"/>
              <w:rPr>
                <w:rFonts w:ascii="Times New Roman"/>
                <w:sz w:val="24"/>
              </w:rPr>
            </w:pPr>
          </w:p>
        </w:tc>
        <w:tc>
          <w:tcPr>
            <w:tcW w:w="5054" w:type="dxa"/>
            <w:tcBorders>
              <w:bottom w:val="nil"/>
            </w:tcBorders>
          </w:tcPr>
          <w:p>
            <w:pPr>
              <w:pStyle w:val="10"/>
              <w:spacing w:before="80"/>
              <w:ind w:left="106"/>
              <w:rPr>
                <w:sz w:val="24"/>
              </w:rPr>
            </w:pPr>
            <w:r>
              <w:rPr>
                <w:spacing w:val="-1"/>
                <w:sz w:val="24"/>
              </w:rPr>
              <w:t>《安徽省实施&lt;中华人民共和国人民防空  法&gt;</w:t>
            </w:r>
          </w:p>
        </w:tc>
        <w:tc>
          <w:tcPr>
            <w:tcW w:w="1771" w:type="dxa"/>
            <w:tcBorders>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rPr>
                <w:rFonts w:ascii="Times New Roman"/>
                <w:sz w:val="24"/>
              </w:rPr>
            </w:pPr>
          </w:p>
        </w:tc>
        <w:tc>
          <w:tcPr>
            <w:tcW w:w="5054" w:type="dxa"/>
            <w:tcBorders>
              <w:top w:val="nil"/>
              <w:bottom w:val="nil"/>
            </w:tcBorders>
          </w:tcPr>
          <w:p>
            <w:pPr>
              <w:pStyle w:val="10"/>
              <w:spacing w:before="46"/>
              <w:ind w:left="106"/>
              <w:rPr>
                <w:sz w:val="24"/>
              </w:rPr>
            </w:pPr>
            <w:r>
              <w:rPr>
                <w:spacing w:val="-6"/>
                <w:sz w:val="24"/>
              </w:rPr>
              <w:t>办法》第四十五条： 违反本办法第二十二条第</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rPr>
                <w:rFonts w:ascii="Times New Roman"/>
                <w:sz w:val="24"/>
              </w:rPr>
            </w:pPr>
          </w:p>
        </w:tc>
        <w:tc>
          <w:tcPr>
            <w:tcW w:w="5054" w:type="dxa"/>
            <w:tcBorders>
              <w:top w:val="nil"/>
              <w:bottom w:val="nil"/>
            </w:tcBorders>
          </w:tcPr>
          <w:p>
            <w:pPr>
              <w:pStyle w:val="10"/>
              <w:spacing w:before="46"/>
              <w:ind w:left="106"/>
              <w:rPr>
                <w:sz w:val="24"/>
              </w:rPr>
            </w:pPr>
            <w:r>
              <w:rPr>
                <w:spacing w:val="-1"/>
                <w:sz w:val="24"/>
              </w:rPr>
              <w:t>一款、第二十八条第三项至五项、第二十九条</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5"/>
              <w:ind w:left="107"/>
              <w:rPr>
                <w:sz w:val="24"/>
              </w:rPr>
            </w:pPr>
            <w:r>
              <w:rPr>
                <w:spacing w:val="-9"/>
                <w:sz w:val="24"/>
              </w:rPr>
              <w:t>《安徽省实施〈中华人民共和国</w:t>
            </w:r>
          </w:p>
        </w:tc>
        <w:tc>
          <w:tcPr>
            <w:tcW w:w="5054" w:type="dxa"/>
            <w:tcBorders>
              <w:top w:val="nil"/>
              <w:bottom w:val="nil"/>
            </w:tcBorders>
          </w:tcPr>
          <w:p>
            <w:pPr>
              <w:pStyle w:val="10"/>
              <w:spacing w:before="45"/>
              <w:ind w:left="106"/>
              <w:rPr>
                <w:sz w:val="24"/>
              </w:rPr>
            </w:pPr>
            <w:r>
              <w:rPr>
                <w:spacing w:val="-1"/>
                <w:sz w:val="24"/>
              </w:rPr>
              <w:t>第一款、第三十二条第二款至四款规定，有下</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spacing w:before="46"/>
              <w:ind w:left="107"/>
              <w:rPr>
                <w:sz w:val="24"/>
              </w:rPr>
            </w:pPr>
            <w:r>
              <w:rPr>
                <w:spacing w:val="28"/>
                <w:sz w:val="24"/>
              </w:rPr>
              <w:t>改变人防工程主体结</w:t>
            </w:r>
          </w:p>
        </w:tc>
        <w:tc>
          <w:tcPr>
            <w:tcW w:w="3512" w:type="dxa"/>
            <w:tcBorders>
              <w:top w:val="nil"/>
              <w:bottom w:val="nil"/>
            </w:tcBorders>
          </w:tcPr>
          <w:p>
            <w:pPr>
              <w:pStyle w:val="10"/>
              <w:spacing w:before="46"/>
              <w:ind w:left="107"/>
              <w:rPr>
                <w:sz w:val="24"/>
              </w:rPr>
            </w:pPr>
            <w:r>
              <w:rPr>
                <w:spacing w:val="-7"/>
                <w:sz w:val="24"/>
              </w:rPr>
              <w:t>人民防空法〉办法》第二十八条</w:t>
            </w:r>
          </w:p>
        </w:tc>
        <w:tc>
          <w:tcPr>
            <w:tcW w:w="5054" w:type="dxa"/>
            <w:tcBorders>
              <w:top w:val="nil"/>
              <w:bottom w:val="nil"/>
            </w:tcBorders>
          </w:tcPr>
          <w:p>
            <w:pPr>
              <w:pStyle w:val="10"/>
              <w:spacing w:before="46"/>
              <w:ind w:left="106"/>
              <w:rPr>
                <w:sz w:val="24"/>
              </w:rPr>
            </w:pPr>
            <w:r>
              <w:rPr>
                <w:spacing w:val="-1"/>
                <w:sz w:val="24"/>
              </w:rPr>
              <w:t>列行为之一的，由市或者县人民政府人民防空</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28" w:type="dxa"/>
            <w:tcBorders>
              <w:top w:val="nil"/>
              <w:bottom w:val="nil"/>
            </w:tcBorders>
          </w:tcPr>
          <w:p>
            <w:pPr>
              <w:pStyle w:val="10"/>
              <w:spacing w:before="10"/>
              <w:rPr>
                <w:rFonts w:ascii="PMingLiU"/>
                <w:sz w:val="25"/>
              </w:rPr>
            </w:pPr>
          </w:p>
          <w:p>
            <w:pPr>
              <w:pStyle w:val="10"/>
              <w:ind w:left="10"/>
              <w:jc w:val="center"/>
              <w:rPr>
                <w:rFonts w:ascii="黑体"/>
                <w:sz w:val="32"/>
              </w:rPr>
            </w:pPr>
            <w:r>
              <w:rPr>
                <w:rFonts w:ascii="黑体"/>
                <w:w w:val="99"/>
                <w:sz w:val="32"/>
              </w:rPr>
              <w:t>3</w:t>
            </w:r>
          </w:p>
        </w:tc>
        <w:tc>
          <w:tcPr>
            <w:tcW w:w="2650" w:type="dxa"/>
            <w:tcBorders>
              <w:top w:val="nil"/>
              <w:bottom w:val="nil"/>
            </w:tcBorders>
          </w:tcPr>
          <w:p>
            <w:pPr>
              <w:pStyle w:val="10"/>
              <w:spacing w:before="46" w:line="312" w:lineRule="auto"/>
              <w:ind w:left="107" w:right="96"/>
              <w:rPr>
                <w:sz w:val="24"/>
              </w:rPr>
            </w:pPr>
            <w:r>
              <w:rPr>
                <w:spacing w:val="-2"/>
                <w:sz w:val="24"/>
              </w:rPr>
              <w:t>构，拆除人民防空工程</w:t>
            </w:r>
            <w:r>
              <w:rPr>
                <w:spacing w:val="-1"/>
                <w:sz w:val="24"/>
              </w:rPr>
              <w:t>设备设施，改变利用用</w:t>
            </w:r>
          </w:p>
          <w:p>
            <w:pPr>
              <w:pStyle w:val="10"/>
              <w:spacing w:line="307" w:lineRule="exact"/>
              <w:ind w:left="107"/>
              <w:rPr>
                <w:sz w:val="24"/>
              </w:rPr>
            </w:pPr>
            <w:r>
              <w:rPr>
                <w:spacing w:val="-1"/>
                <w:sz w:val="24"/>
              </w:rPr>
              <w:t>途、不维护管理人民防</w:t>
            </w:r>
          </w:p>
        </w:tc>
        <w:tc>
          <w:tcPr>
            <w:tcW w:w="3512" w:type="dxa"/>
            <w:tcBorders>
              <w:top w:val="nil"/>
              <w:bottom w:val="nil"/>
            </w:tcBorders>
          </w:tcPr>
          <w:p>
            <w:pPr>
              <w:pStyle w:val="10"/>
              <w:spacing w:before="46" w:line="312" w:lineRule="auto"/>
              <w:ind w:left="107" w:right="97"/>
              <w:rPr>
                <w:sz w:val="24"/>
              </w:rPr>
            </w:pPr>
            <w:r>
              <w:rPr>
                <w:spacing w:val="-6"/>
                <w:sz w:val="24"/>
              </w:rPr>
              <w:t>第五项：违反国家有关规定，改</w:t>
            </w:r>
            <w:r>
              <w:rPr>
                <w:spacing w:val="-7"/>
                <w:sz w:val="24"/>
              </w:rPr>
              <w:t>变人民防空工程主体结构，拆除</w:t>
            </w:r>
          </w:p>
          <w:p>
            <w:pPr>
              <w:pStyle w:val="10"/>
              <w:spacing w:line="307" w:lineRule="exact"/>
              <w:ind w:left="107"/>
              <w:rPr>
                <w:sz w:val="24"/>
              </w:rPr>
            </w:pPr>
            <w:r>
              <w:rPr>
                <w:spacing w:val="-7"/>
                <w:sz w:val="24"/>
              </w:rPr>
              <w:t>人民防空工程设备设施，擅自改</w:t>
            </w:r>
          </w:p>
        </w:tc>
        <w:tc>
          <w:tcPr>
            <w:tcW w:w="5054" w:type="dxa"/>
            <w:tcBorders>
              <w:top w:val="nil"/>
              <w:bottom w:val="nil"/>
            </w:tcBorders>
          </w:tcPr>
          <w:p>
            <w:pPr>
              <w:pStyle w:val="10"/>
              <w:spacing w:before="46" w:line="312" w:lineRule="auto"/>
              <w:ind w:left="106" w:right="97"/>
              <w:rPr>
                <w:sz w:val="24"/>
              </w:rPr>
            </w:pPr>
            <w:r>
              <w:rPr>
                <w:spacing w:val="-2"/>
                <w:sz w:val="24"/>
              </w:rPr>
              <w:t>主管部门责令限期改正，给予警告，可以对个</w:t>
            </w:r>
            <w:r>
              <w:rPr>
                <w:spacing w:val="-1"/>
                <w:sz w:val="24"/>
              </w:rPr>
              <w:t>人并处一千元以上五千元以下的罚款，对单位</w:t>
            </w:r>
          </w:p>
          <w:p>
            <w:pPr>
              <w:pStyle w:val="10"/>
              <w:spacing w:line="307" w:lineRule="exact"/>
              <w:ind w:left="106"/>
              <w:rPr>
                <w:sz w:val="24"/>
              </w:rPr>
            </w:pPr>
            <w:r>
              <w:rPr>
                <w:spacing w:val="-6"/>
                <w:sz w:val="24"/>
              </w:rPr>
              <w:t>并处一万元以上五万元以下的 罚款；造成损失</w:t>
            </w:r>
          </w:p>
        </w:tc>
        <w:tc>
          <w:tcPr>
            <w:tcW w:w="1771" w:type="dxa"/>
            <w:tcBorders>
              <w:top w:val="nil"/>
              <w:bottom w:val="nil"/>
            </w:tcBorders>
          </w:tcPr>
          <w:p>
            <w:pPr>
              <w:pStyle w:val="10"/>
              <w:spacing w:before="8"/>
              <w:rPr>
                <w:rFonts w:ascii="PMingLiU"/>
                <w:sz w:val="17"/>
              </w:rPr>
            </w:pPr>
          </w:p>
          <w:p>
            <w:pPr>
              <w:pStyle w:val="10"/>
              <w:spacing w:line="312" w:lineRule="auto"/>
              <w:ind w:left="404" w:right="154" w:hanging="240"/>
              <w:rPr>
                <w:sz w:val="24"/>
              </w:rPr>
            </w:pPr>
            <w:r>
              <w:rPr>
                <w:spacing w:val="-2"/>
                <w:sz w:val="24"/>
              </w:rPr>
              <w:t>市县国防动员</w:t>
            </w:r>
            <w:r>
              <w:rPr>
                <w:spacing w:val="-4"/>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spacing w:before="46"/>
              <w:ind w:left="107"/>
              <w:rPr>
                <w:sz w:val="24"/>
              </w:rPr>
            </w:pPr>
            <w:r>
              <w:rPr>
                <w:spacing w:val="-2"/>
                <w:sz w:val="24"/>
              </w:rPr>
              <w:t>空工程专用设备。</w:t>
            </w:r>
          </w:p>
        </w:tc>
        <w:tc>
          <w:tcPr>
            <w:tcW w:w="3512" w:type="dxa"/>
            <w:tcBorders>
              <w:top w:val="nil"/>
              <w:bottom w:val="nil"/>
            </w:tcBorders>
          </w:tcPr>
          <w:p>
            <w:pPr>
              <w:pStyle w:val="10"/>
              <w:spacing w:before="46"/>
              <w:ind w:left="107"/>
              <w:rPr>
                <w:sz w:val="24"/>
              </w:rPr>
            </w:pPr>
            <w:r>
              <w:rPr>
                <w:spacing w:val="12"/>
                <w:sz w:val="24"/>
              </w:rPr>
              <w:t>变利用用途或者不维护管理人</w:t>
            </w:r>
          </w:p>
        </w:tc>
        <w:tc>
          <w:tcPr>
            <w:tcW w:w="5054" w:type="dxa"/>
            <w:tcBorders>
              <w:top w:val="nil"/>
              <w:bottom w:val="nil"/>
            </w:tcBorders>
          </w:tcPr>
          <w:p>
            <w:pPr>
              <w:pStyle w:val="10"/>
              <w:spacing w:before="46"/>
              <w:ind w:left="106"/>
              <w:rPr>
                <w:sz w:val="24"/>
              </w:rPr>
            </w:pPr>
            <w:r>
              <w:rPr>
                <w:spacing w:val="-1"/>
                <w:sz w:val="24"/>
              </w:rPr>
              <w:t>的，应当依法赔偿损失：(四)违反国家有关规</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spacing w:before="45"/>
              <w:ind w:left="107"/>
              <w:rPr>
                <w:sz w:val="24"/>
              </w:rPr>
            </w:pPr>
            <w:r>
              <w:rPr>
                <w:spacing w:val="-1"/>
                <w:sz w:val="24"/>
              </w:rPr>
              <w:t>民防空工程专用设备。</w:t>
            </w:r>
          </w:p>
        </w:tc>
        <w:tc>
          <w:tcPr>
            <w:tcW w:w="5054" w:type="dxa"/>
            <w:tcBorders>
              <w:top w:val="nil"/>
              <w:bottom w:val="nil"/>
            </w:tcBorders>
          </w:tcPr>
          <w:p>
            <w:pPr>
              <w:pStyle w:val="10"/>
              <w:spacing w:before="45"/>
              <w:ind w:left="106"/>
              <w:rPr>
                <w:sz w:val="24"/>
              </w:rPr>
            </w:pPr>
            <w:r>
              <w:rPr>
                <w:spacing w:val="-1"/>
                <w:sz w:val="24"/>
              </w:rPr>
              <w:t>定，改变人民防空工程主体结构，拆除人民防</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rPr>
                <w:rFonts w:ascii="Times New Roman"/>
                <w:sz w:val="24"/>
              </w:rPr>
            </w:pPr>
          </w:p>
        </w:tc>
        <w:tc>
          <w:tcPr>
            <w:tcW w:w="5054" w:type="dxa"/>
            <w:tcBorders>
              <w:top w:val="nil"/>
              <w:bottom w:val="nil"/>
            </w:tcBorders>
          </w:tcPr>
          <w:p>
            <w:pPr>
              <w:pStyle w:val="10"/>
              <w:spacing w:before="46"/>
              <w:ind w:left="106" w:right="-29"/>
              <w:rPr>
                <w:sz w:val="24"/>
              </w:rPr>
            </w:pPr>
            <w:r>
              <w:rPr>
                <w:spacing w:val="-10"/>
                <w:sz w:val="24"/>
              </w:rPr>
              <w:t>空工程设备设施，或者采用擅自改变利用用途、</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8" w:type="dxa"/>
            <w:tcBorders>
              <w:top w:val="nil"/>
              <w:bottom w:val="nil"/>
            </w:tcBorders>
          </w:tcPr>
          <w:p>
            <w:pPr>
              <w:pStyle w:val="10"/>
              <w:rPr>
                <w:rFonts w:ascii="Times New Roman"/>
                <w:sz w:val="24"/>
              </w:rPr>
            </w:pPr>
          </w:p>
        </w:tc>
        <w:tc>
          <w:tcPr>
            <w:tcW w:w="2650" w:type="dxa"/>
            <w:tcBorders>
              <w:top w:val="nil"/>
              <w:bottom w:val="nil"/>
            </w:tcBorders>
          </w:tcPr>
          <w:p>
            <w:pPr>
              <w:pStyle w:val="10"/>
              <w:rPr>
                <w:rFonts w:ascii="Times New Roman"/>
                <w:sz w:val="24"/>
              </w:rPr>
            </w:pPr>
          </w:p>
        </w:tc>
        <w:tc>
          <w:tcPr>
            <w:tcW w:w="3512" w:type="dxa"/>
            <w:tcBorders>
              <w:top w:val="nil"/>
              <w:bottom w:val="nil"/>
            </w:tcBorders>
          </w:tcPr>
          <w:p>
            <w:pPr>
              <w:pStyle w:val="10"/>
              <w:rPr>
                <w:rFonts w:ascii="Times New Roman"/>
                <w:sz w:val="24"/>
              </w:rPr>
            </w:pPr>
          </w:p>
        </w:tc>
        <w:tc>
          <w:tcPr>
            <w:tcW w:w="5054" w:type="dxa"/>
            <w:tcBorders>
              <w:top w:val="nil"/>
              <w:bottom w:val="nil"/>
            </w:tcBorders>
          </w:tcPr>
          <w:p>
            <w:pPr>
              <w:pStyle w:val="10"/>
              <w:spacing w:before="46"/>
              <w:ind w:left="106"/>
              <w:rPr>
                <w:sz w:val="24"/>
              </w:rPr>
            </w:pPr>
            <w:r>
              <w:rPr>
                <w:spacing w:val="12"/>
                <w:sz w:val="24"/>
              </w:rPr>
              <w:t>不维护管理人民防空工程专用设备等其他方</w:t>
            </w:r>
          </w:p>
        </w:tc>
        <w:tc>
          <w:tcPr>
            <w:tcW w:w="1771" w:type="dxa"/>
            <w:tcBorders>
              <w:top w:val="nil"/>
              <w:bottom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128" w:type="dxa"/>
            <w:tcBorders>
              <w:top w:val="nil"/>
            </w:tcBorders>
          </w:tcPr>
          <w:p>
            <w:pPr>
              <w:pStyle w:val="10"/>
              <w:rPr>
                <w:rFonts w:ascii="Times New Roman"/>
                <w:sz w:val="24"/>
              </w:rPr>
            </w:pPr>
          </w:p>
        </w:tc>
        <w:tc>
          <w:tcPr>
            <w:tcW w:w="2650" w:type="dxa"/>
            <w:tcBorders>
              <w:top w:val="nil"/>
            </w:tcBorders>
          </w:tcPr>
          <w:p>
            <w:pPr>
              <w:pStyle w:val="10"/>
              <w:rPr>
                <w:rFonts w:ascii="Times New Roman"/>
                <w:sz w:val="24"/>
              </w:rPr>
            </w:pPr>
          </w:p>
        </w:tc>
        <w:tc>
          <w:tcPr>
            <w:tcW w:w="3512" w:type="dxa"/>
            <w:tcBorders>
              <w:top w:val="nil"/>
            </w:tcBorders>
          </w:tcPr>
          <w:p>
            <w:pPr>
              <w:pStyle w:val="10"/>
              <w:rPr>
                <w:rFonts w:ascii="Times New Roman"/>
                <w:sz w:val="24"/>
              </w:rPr>
            </w:pPr>
          </w:p>
        </w:tc>
        <w:tc>
          <w:tcPr>
            <w:tcW w:w="5054" w:type="dxa"/>
            <w:tcBorders>
              <w:top w:val="nil"/>
            </w:tcBorders>
          </w:tcPr>
          <w:p>
            <w:pPr>
              <w:pStyle w:val="10"/>
              <w:spacing w:before="45" w:line="300" w:lineRule="exact"/>
              <w:ind w:left="106"/>
              <w:rPr>
                <w:sz w:val="24"/>
              </w:rPr>
            </w:pPr>
            <w:r>
              <w:rPr>
                <w:spacing w:val="-1"/>
                <w:sz w:val="24"/>
              </w:rPr>
              <w:t>法，危害人民防空工程安全和使用效能的。”</w:t>
            </w:r>
          </w:p>
        </w:tc>
        <w:tc>
          <w:tcPr>
            <w:tcW w:w="1771" w:type="dxa"/>
            <w:tcBorders>
              <w:top w:val="nil"/>
            </w:tcBorders>
          </w:tcPr>
          <w:p>
            <w:pPr>
              <w:pStyle w:val="10"/>
              <w:rPr>
                <w:rFonts w:ascii="Times New Roman"/>
                <w:sz w:val="24"/>
              </w:rPr>
            </w:pPr>
          </w:p>
        </w:tc>
      </w:tr>
    </w:tbl>
    <w:p>
      <w:pPr>
        <w:spacing w:after="0"/>
        <w:rPr>
          <w:rFonts w:ascii="Times New Roman"/>
          <w:sz w:val="24"/>
        </w:rPr>
        <w:sectPr>
          <w:pgSz w:w="16840" w:h="11910" w:orient="landscape"/>
          <w:pgMar w:top="1340" w:right="1220" w:bottom="1160" w:left="1100" w:header="0" w:footer="972" w:gutter="0"/>
          <w:cols w:space="720" w:num="1"/>
        </w:sectPr>
      </w:pPr>
    </w:p>
    <w:p>
      <w:pPr>
        <w:pStyle w:val="3"/>
        <w:spacing w:before="8"/>
        <w:rPr>
          <w:rFonts w:ascii="PMingLiU"/>
          <w:sz w:val="14"/>
        </w:rPr>
      </w:pPr>
    </w:p>
    <w:tbl>
      <w:tblPr>
        <w:tblStyle w:val="6"/>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2854"/>
        <w:gridCol w:w="3520"/>
        <w:gridCol w:w="3760"/>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4174" w:type="dxa"/>
            <w:gridSpan w:val="5"/>
          </w:tcPr>
          <w:p>
            <w:pPr>
              <w:pStyle w:val="10"/>
              <w:spacing w:before="134"/>
              <w:ind w:left="5963" w:right="5953"/>
              <w:jc w:val="center"/>
              <w:rPr>
                <w:rFonts w:ascii="黑体" w:eastAsia="黑体"/>
                <w:sz w:val="28"/>
              </w:rPr>
            </w:pPr>
            <w:bookmarkStart w:id="12" w:name="其他单位执法事项"/>
            <w:bookmarkEnd w:id="12"/>
            <w:r>
              <w:rPr>
                <w:rFonts w:ascii="黑体" w:eastAsia="黑体"/>
                <w:spacing w:val="-4"/>
                <w:sz w:val="28"/>
              </w:rPr>
              <w:t>其他单位执法事项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3" w:type="dxa"/>
          </w:tcPr>
          <w:p>
            <w:pPr>
              <w:pStyle w:val="10"/>
              <w:spacing w:before="133"/>
              <w:ind w:left="161" w:right="153"/>
              <w:jc w:val="center"/>
              <w:rPr>
                <w:rFonts w:ascii="黑体" w:eastAsia="黑体"/>
                <w:sz w:val="28"/>
              </w:rPr>
            </w:pPr>
            <w:r>
              <w:rPr>
                <w:rFonts w:ascii="黑体" w:eastAsia="黑体"/>
                <w:spacing w:val="-6"/>
                <w:sz w:val="28"/>
              </w:rPr>
              <w:t>序号</w:t>
            </w:r>
          </w:p>
        </w:tc>
        <w:tc>
          <w:tcPr>
            <w:tcW w:w="2854" w:type="dxa"/>
          </w:tcPr>
          <w:p>
            <w:pPr>
              <w:pStyle w:val="10"/>
              <w:spacing w:before="133"/>
              <w:ind w:left="586"/>
              <w:rPr>
                <w:rFonts w:ascii="黑体" w:eastAsia="黑体"/>
                <w:sz w:val="28"/>
              </w:rPr>
            </w:pPr>
            <w:r>
              <w:rPr>
                <w:rFonts w:ascii="黑体" w:eastAsia="黑体"/>
                <w:spacing w:val="-4"/>
                <w:sz w:val="28"/>
              </w:rPr>
              <w:t>信访投诉事由</w:t>
            </w:r>
          </w:p>
        </w:tc>
        <w:tc>
          <w:tcPr>
            <w:tcW w:w="3520" w:type="dxa"/>
          </w:tcPr>
          <w:p>
            <w:pPr>
              <w:pStyle w:val="10"/>
              <w:spacing w:before="133"/>
              <w:ind w:left="1189" w:right="1177"/>
              <w:jc w:val="center"/>
              <w:rPr>
                <w:rFonts w:ascii="黑体" w:eastAsia="黑体"/>
                <w:sz w:val="28"/>
              </w:rPr>
            </w:pPr>
            <w:r>
              <w:rPr>
                <w:rFonts w:ascii="黑体" w:eastAsia="黑体"/>
                <w:spacing w:val="-4"/>
                <w:sz w:val="28"/>
              </w:rPr>
              <w:t>相关规定</w:t>
            </w:r>
          </w:p>
        </w:tc>
        <w:tc>
          <w:tcPr>
            <w:tcW w:w="3760" w:type="dxa"/>
          </w:tcPr>
          <w:p>
            <w:pPr>
              <w:pStyle w:val="10"/>
              <w:spacing w:before="133"/>
              <w:ind w:left="1307" w:right="1298"/>
              <w:jc w:val="center"/>
              <w:rPr>
                <w:rFonts w:ascii="黑体" w:eastAsia="黑体"/>
                <w:sz w:val="28"/>
              </w:rPr>
            </w:pPr>
            <w:r>
              <w:rPr>
                <w:rFonts w:ascii="黑体" w:eastAsia="黑体"/>
                <w:spacing w:val="-4"/>
                <w:sz w:val="28"/>
              </w:rPr>
              <w:t>处理依据</w:t>
            </w:r>
          </w:p>
        </w:tc>
        <w:tc>
          <w:tcPr>
            <w:tcW w:w="3127" w:type="dxa"/>
          </w:tcPr>
          <w:p>
            <w:pPr>
              <w:pStyle w:val="10"/>
              <w:spacing w:before="133"/>
              <w:ind w:left="1003"/>
              <w:rPr>
                <w:rFonts w:ascii="黑体" w:eastAsia="黑体"/>
                <w:sz w:val="28"/>
              </w:rPr>
            </w:pPr>
            <w:r>
              <w:rPr>
                <w:rFonts w:ascii="黑体" w:eastAsia="黑体"/>
                <w:spacing w:val="-4"/>
                <w:sz w:val="28"/>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0" w:hRule="atLeast"/>
        </w:trPr>
        <w:tc>
          <w:tcPr>
            <w:tcW w:w="913" w:type="dxa"/>
          </w:tcPr>
          <w:p>
            <w:pPr>
              <w:pStyle w:val="10"/>
              <w:rPr>
                <w:rFonts w:ascii="PMingLiU"/>
                <w:sz w:val="32"/>
              </w:rPr>
            </w:pPr>
          </w:p>
          <w:p>
            <w:pPr>
              <w:pStyle w:val="10"/>
              <w:rPr>
                <w:rFonts w:ascii="PMingLiU"/>
                <w:sz w:val="32"/>
              </w:rPr>
            </w:pPr>
          </w:p>
          <w:p>
            <w:pPr>
              <w:pStyle w:val="10"/>
              <w:spacing w:before="11"/>
              <w:rPr>
                <w:rFonts w:ascii="PMingLiU"/>
                <w:sz w:val="35"/>
              </w:rPr>
            </w:pPr>
          </w:p>
          <w:p>
            <w:pPr>
              <w:pStyle w:val="10"/>
              <w:spacing w:before="1"/>
              <w:ind w:left="9"/>
              <w:jc w:val="center"/>
              <w:rPr>
                <w:rFonts w:ascii="黑体"/>
                <w:sz w:val="32"/>
              </w:rPr>
            </w:pPr>
            <w:r>
              <w:rPr>
                <w:rFonts w:ascii="黑体"/>
                <w:w w:val="99"/>
                <w:sz w:val="32"/>
              </w:rPr>
              <w:t>1</w:t>
            </w:r>
          </w:p>
        </w:tc>
        <w:tc>
          <w:tcPr>
            <w:tcW w:w="2854" w:type="dxa"/>
          </w:tcPr>
          <w:p>
            <w:pPr>
              <w:pStyle w:val="10"/>
              <w:rPr>
                <w:rFonts w:ascii="PMingLiU"/>
                <w:sz w:val="24"/>
              </w:rPr>
            </w:pPr>
          </w:p>
          <w:p>
            <w:pPr>
              <w:pStyle w:val="10"/>
              <w:spacing w:before="10"/>
              <w:rPr>
                <w:rFonts w:ascii="PMingLiU"/>
                <w:sz w:val="24"/>
              </w:rPr>
            </w:pPr>
          </w:p>
          <w:p>
            <w:pPr>
              <w:pStyle w:val="10"/>
              <w:spacing w:line="312" w:lineRule="auto"/>
              <w:ind w:left="106" w:right="-29"/>
              <w:rPr>
                <w:sz w:val="24"/>
              </w:rPr>
            </w:pPr>
            <w:r>
              <w:rPr>
                <w:spacing w:val="-12"/>
                <w:sz w:val="24"/>
              </w:rPr>
              <w:t>供水、供电、供气、供热、</w:t>
            </w:r>
            <w:r>
              <w:rPr>
                <w:spacing w:val="21"/>
                <w:sz w:val="24"/>
              </w:rPr>
              <w:t>通信等专业经营设备设</w:t>
            </w:r>
            <w:r>
              <w:rPr>
                <w:spacing w:val="-2"/>
                <w:sz w:val="24"/>
              </w:rPr>
              <w:t>施的维修、养护或者更新</w:t>
            </w:r>
            <w:r>
              <w:rPr>
                <w:spacing w:val="-4"/>
                <w:sz w:val="24"/>
              </w:rPr>
              <w:t>等问题</w:t>
            </w:r>
          </w:p>
        </w:tc>
        <w:tc>
          <w:tcPr>
            <w:tcW w:w="3520" w:type="dxa"/>
          </w:tcPr>
          <w:p>
            <w:pPr>
              <w:pStyle w:val="10"/>
              <w:spacing w:before="82" w:line="312" w:lineRule="auto"/>
              <w:ind w:left="108" w:right="94"/>
              <w:jc w:val="both"/>
              <w:rPr>
                <w:sz w:val="24"/>
              </w:rPr>
            </w:pPr>
            <w:r>
              <w:rPr>
                <w:spacing w:val="-8"/>
                <w:sz w:val="24"/>
              </w:rPr>
              <w:t>《安徽省物业管理条例》第五十</w:t>
            </w:r>
            <w:r>
              <w:rPr>
                <w:spacing w:val="12"/>
                <w:sz w:val="24"/>
              </w:rPr>
              <w:t>五条第二款：在竣工验收合格</w:t>
            </w:r>
            <w:r>
              <w:rPr>
                <w:spacing w:val="-10"/>
                <w:sz w:val="24"/>
              </w:rPr>
              <w:t>后，应当将物业管理区域内专业</w:t>
            </w:r>
            <w:r>
              <w:rPr>
                <w:spacing w:val="12"/>
                <w:sz w:val="24"/>
              </w:rPr>
              <w:t>经营设施设备移交给专业经营</w:t>
            </w:r>
            <w:r>
              <w:rPr>
                <w:spacing w:val="-9"/>
                <w:sz w:val="24"/>
              </w:rPr>
              <w:t>单位负责管理，专业经营单位应当接收并承担维修、养护和更新的责任，有关费用由专业经营单</w:t>
            </w:r>
          </w:p>
          <w:p>
            <w:pPr>
              <w:pStyle w:val="10"/>
              <w:spacing w:line="300" w:lineRule="exact"/>
              <w:ind w:left="108"/>
              <w:rPr>
                <w:sz w:val="24"/>
              </w:rPr>
            </w:pPr>
            <w:r>
              <w:rPr>
                <w:spacing w:val="-3"/>
                <w:sz w:val="24"/>
              </w:rPr>
              <w:t>位承担。</w:t>
            </w:r>
          </w:p>
        </w:tc>
        <w:tc>
          <w:tcPr>
            <w:tcW w:w="3760" w:type="dxa"/>
          </w:tcPr>
          <w:p>
            <w:pPr>
              <w:pStyle w:val="10"/>
              <w:spacing w:before="1"/>
              <w:rPr>
                <w:rFonts w:ascii="PMingLiU"/>
                <w:sz w:val="20"/>
              </w:rPr>
            </w:pPr>
          </w:p>
          <w:p>
            <w:pPr>
              <w:pStyle w:val="10"/>
              <w:spacing w:line="312" w:lineRule="auto"/>
              <w:ind w:left="107" w:right="40"/>
              <w:jc w:val="both"/>
              <w:rPr>
                <w:sz w:val="24"/>
              </w:rPr>
            </w:pPr>
            <w:r>
              <w:rPr>
                <w:spacing w:val="-7"/>
                <w:sz w:val="24"/>
              </w:rPr>
              <w:t>《安徽省物业管理条例》第九十六</w:t>
            </w:r>
            <w:r>
              <w:rPr>
                <w:spacing w:val="-10"/>
                <w:sz w:val="24"/>
              </w:rPr>
              <w:t>条：违反本条例第五十五条第二款</w:t>
            </w:r>
            <w:r>
              <w:rPr>
                <w:spacing w:val="11"/>
                <w:sz w:val="24"/>
              </w:rPr>
              <w:t>规定，专业经营单位拒不承担维</w:t>
            </w:r>
            <w:r>
              <w:rPr>
                <w:spacing w:val="-2"/>
                <w:sz w:val="24"/>
              </w:rPr>
              <w:t>修、养护或者更新责任的，由县级</w:t>
            </w:r>
            <w:r>
              <w:rPr>
                <w:spacing w:val="11"/>
                <w:sz w:val="24"/>
              </w:rPr>
              <w:t>以上人民政府依法行使监督管理</w:t>
            </w:r>
            <w:r>
              <w:rPr>
                <w:spacing w:val="-7"/>
                <w:sz w:val="24"/>
              </w:rPr>
              <w:t>权的部门责令限期改正，造成业主</w:t>
            </w:r>
            <w:r>
              <w:rPr>
                <w:spacing w:val="-1"/>
                <w:sz w:val="24"/>
              </w:rPr>
              <w:t>损失的，应当依法承担赔偿责任。</w:t>
            </w:r>
          </w:p>
        </w:tc>
        <w:tc>
          <w:tcPr>
            <w:tcW w:w="3127" w:type="dxa"/>
          </w:tcPr>
          <w:p>
            <w:pPr>
              <w:pStyle w:val="10"/>
              <w:rPr>
                <w:rFonts w:ascii="PMingLiU"/>
                <w:sz w:val="24"/>
              </w:rPr>
            </w:pPr>
          </w:p>
          <w:p>
            <w:pPr>
              <w:pStyle w:val="10"/>
              <w:rPr>
                <w:rFonts w:ascii="PMingLiU"/>
                <w:sz w:val="24"/>
              </w:rPr>
            </w:pPr>
          </w:p>
          <w:p>
            <w:pPr>
              <w:pStyle w:val="10"/>
              <w:spacing w:before="3"/>
              <w:rPr>
                <w:rFonts w:ascii="PMingLiU"/>
                <w:sz w:val="29"/>
              </w:rPr>
            </w:pPr>
          </w:p>
          <w:p>
            <w:pPr>
              <w:pStyle w:val="10"/>
              <w:spacing w:line="312" w:lineRule="auto"/>
              <w:ind w:left="107" w:right="95"/>
              <w:jc w:val="both"/>
              <w:rPr>
                <w:sz w:val="24"/>
              </w:rPr>
            </w:pPr>
            <w:r>
              <w:rPr>
                <w:spacing w:val="-2"/>
                <w:sz w:val="24"/>
              </w:rPr>
              <w:t>供水、供气、供热为城乡建设部门，供电为发展改革部门，通信为通行主管部门</w:t>
            </w:r>
          </w:p>
        </w:tc>
      </w:tr>
    </w:tbl>
    <w:p>
      <w:pPr>
        <w:pStyle w:val="3"/>
        <w:rPr>
          <w:rFonts w:ascii="PMingLiU"/>
          <w:sz w:val="20"/>
        </w:rPr>
      </w:pPr>
    </w:p>
    <w:p>
      <w:pPr>
        <w:pStyle w:val="3"/>
        <w:rPr>
          <w:rFonts w:ascii="PMingLiU"/>
          <w:sz w:val="20"/>
        </w:rPr>
      </w:pPr>
    </w:p>
    <w:p>
      <w:pPr>
        <w:pStyle w:val="3"/>
        <w:spacing w:before="12"/>
        <w:rPr>
          <w:rFonts w:ascii="PMingLiU"/>
          <w:sz w:val="20"/>
        </w:rPr>
      </w:pPr>
    </w:p>
    <w:p>
      <w:pPr>
        <w:spacing w:after="0"/>
        <w:rPr>
          <w:rFonts w:ascii="PMingLiU"/>
          <w:sz w:val="20"/>
        </w:rPr>
        <w:sectPr>
          <w:pgSz w:w="16840" w:h="11910" w:orient="landscape"/>
          <w:pgMar w:top="1340" w:right="1220" w:bottom="1160" w:left="1100" w:header="0" w:footer="972" w:gutter="0"/>
          <w:cols w:space="720" w:num="1"/>
        </w:sectPr>
      </w:pPr>
    </w:p>
    <w:p>
      <w:pPr>
        <w:pStyle w:val="3"/>
        <w:rPr>
          <w:rFonts w:ascii="PMingLiU"/>
          <w:sz w:val="36"/>
        </w:rPr>
      </w:pPr>
    </w:p>
    <w:p>
      <w:pPr>
        <w:pStyle w:val="3"/>
        <w:spacing w:before="6"/>
        <w:rPr>
          <w:rFonts w:ascii="PMingLiU"/>
          <w:sz w:val="30"/>
        </w:rPr>
      </w:pPr>
    </w:p>
    <w:p>
      <w:pPr>
        <w:pStyle w:val="3"/>
        <w:spacing w:before="1"/>
        <w:ind w:left="1014"/>
      </w:pPr>
      <w:r>
        <w:rPr>
          <w:w w:val="95"/>
        </w:rPr>
        <w:t>一、物业管理区</w:t>
      </w:r>
      <w:r>
        <w:rPr>
          <w:spacing w:val="-10"/>
          <w:w w:val="95"/>
        </w:rPr>
        <w:t>域</w:t>
      </w:r>
    </w:p>
    <w:p>
      <w:pPr>
        <w:pStyle w:val="2"/>
        <w:tabs>
          <w:tab w:val="left" w:pos="3215"/>
        </w:tabs>
        <w:spacing w:before="56"/>
        <w:ind w:left="1014"/>
        <w:jc w:val="left"/>
      </w:pPr>
      <w:bookmarkStart w:id="13" w:name="_TOC_250000"/>
      <w:r>
        <w:br w:type="column"/>
      </w:r>
      <w:r>
        <w:rPr>
          <w:w w:val="95"/>
        </w:rPr>
        <w:t>第二部</w:t>
      </w:r>
      <w:r>
        <w:rPr>
          <w:spacing w:val="-10"/>
          <w:w w:val="95"/>
        </w:rPr>
        <w:t>分</w:t>
      </w:r>
      <w:r>
        <w:tab/>
      </w:r>
      <w:r>
        <w:rPr>
          <w:w w:val="95"/>
        </w:rPr>
        <w:t>咨询服务事</w:t>
      </w:r>
      <w:bookmarkEnd w:id="13"/>
      <w:r>
        <w:rPr>
          <w:spacing w:val="-10"/>
          <w:w w:val="95"/>
        </w:rPr>
        <w:t>项</w:t>
      </w:r>
    </w:p>
    <w:p>
      <w:pPr>
        <w:spacing w:after="0"/>
        <w:jc w:val="left"/>
        <w:sectPr>
          <w:type w:val="continuous"/>
          <w:pgSz w:w="16840" w:h="11910" w:orient="landscape"/>
          <w:pgMar w:top="1920" w:right="1220" w:bottom="280" w:left="1100" w:header="0" w:footer="972" w:gutter="0"/>
          <w:cols w:equalWidth="0" w:num="2">
            <w:col w:w="3613" w:space="157"/>
            <w:col w:w="10750"/>
          </w:cols>
        </w:sectPr>
      </w:pPr>
    </w:p>
    <w:p>
      <w:pPr>
        <w:pStyle w:val="3"/>
        <w:spacing w:before="1"/>
        <w:rPr>
          <w:rFonts w:ascii="PMingLiU"/>
          <w:sz w:val="12"/>
        </w:rPr>
      </w:pPr>
    </w:p>
    <w:p>
      <w:pPr>
        <w:pStyle w:val="9"/>
        <w:numPr>
          <w:ilvl w:val="0"/>
          <w:numId w:val="1"/>
        </w:numPr>
        <w:tabs>
          <w:tab w:val="left" w:pos="1336"/>
        </w:tabs>
        <w:spacing w:before="54" w:after="0" w:line="364" w:lineRule="auto"/>
        <w:ind w:left="373" w:right="383" w:firstLine="640"/>
        <w:jc w:val="left"/>
        <w:rPr>
          <w:sz w:val="32"/>
        </w:rPr>
      </w:pPr>
      <w:r>
        <w:rPr>
          <w:w w:val="99"/>
          <w:sz w:val="32"/>
        </w:rPr>
        <w:t>物业管理区域定义：无法定解释。可理解为，结合物业的共用设施设备、社区建设等因素，根据建设用地规划许可证划定或依法调整确定。</w:t>
      </w:r>
    </w:p>
    <w:p>
      <w:pPr>
        <w:pStyle w:val="9"/>
        <w:numPr>
          <w:ilvl w:val="0"/>
          <w:numId w:val="1"/>
        </w:numPr>
        <w:tabs>
          <w:tab w:val="left" w:pos="1336"/>
        </w:tabs>
        <w:spacing w:before="2" w:after="0" w:line="240" w:lineRule="auto"/>
        <w:ind w:left="1335" w:right="0" w:hanging="322"/>
        <w:jc w:val="left"/>
        <w:rPr>
          <w:sz w:val="32"/>
        </w:rPr>
      </w:pPr>
      <w:r>
        <w:rPr>
          <w:w w:val="95"/>
          <w:sz w:val="32"/>
        </w:rPr>
        <w:t>物业管理区域划分：建设单位按照《安徽省物业管理条例》第十一条第二款</w:t>
      </w:r>
      <w:r>
        <w:rPr>
          <w:spacing w:val="-2"/>
          <w:w w:val="95"/>
          <w:sz w:val="32"/>
        </w:rPr>
        <w:t>的规定，依据第</w:t>
      </w:r>
    </w:p>
    <w:p>
      <w:pPr>
        <w:spacing w:after="0" w:line="240" w:lineRule="auto"/>
        <w:jc w:val="left"/>
        <w:rPr>
          <w:sz w:val="32"/>
        </w:rPr>
        <w:sectPr>
          <w:type w:val="continuous"/>
          <w:pgSz w:w="16840" w:h="11910" w:orient="landscape"/>
          <w:pgMar w:top="1920" w:right="1220" w:bottom="280" w:left="1100" w:header="0" w:footer="972" w:gutter="0"/>
          <w:cols w:space="720" w:num="1"/>
        </w:sectPr>
      </w:pPr>
    </w:p>
    <w:p>
      <w:pPr>
        <w:pStyle w:val="3"/>
        <w:spacing w:before="8"/>
        <w:rPr>
          <w:sz w:val="18"/>
        </w:rPr>
      </w:pPr>
    </w:p>
    <w:p>
      <w:pPr>
        <w:pStyle w:val="3"/>
        <w:spacing w:before="54" w:line="364" w:lineRule="auto"/>
        <w:ind w:left="373" w:right="479"/>
      </w:pPr>
      <w:r>
        <w:rPr>
          <w:spacing w:val="-6"/>
          <w:w w:val="99"/>
        </w:rPr>
        <w:t>十二条规定的时间进行划分后，向县级物业管理县级主管部门备案，并将经备案的物业管理区域向</w:t>
      </w:r>
      <w:r>
        <w:rPr>
          <w:spacing w:val="-2"/>
          <w:w w:val="99"/>
        </w:rPr>
        <w:t>购房人公开。</w:t>
      </w:r>
    </w:p>
    <w:p>
      <w:pPr>
        <w:pStyle w:val="3"/>
        <w:spacing w:before="2"/>
        <w:ind w:left="1014"/>
      </w:pPr>
      <w:r>
        <w:rPr>
          <w:w w:val="95"/>
        </w:rPr>
        <w:t>县级物业管理主管部门应当明确物业管理区域备案条件</w:t>
      </w:r>
      <w:r>
        <w:rPr>
          <w:spacing w:val="-10"/>
          <w:w w:val="95"/>
        </w:rPr>
        <w:t>。</w:t>
      </w:r>
    </w:p>
    <w:p>
      <w:pPr>
        <w:pStyle w:val="9"/>
        <w:numPr>
          <w:ilvl w:val="0"/>
          <w:numId w:val="1"/>
        </w:numPr>
        <w:tabs>
          <w:tab w:val="left" w:pos="1336"/>
        </w:tabs>
        <w:spacing w:before="214" w:after="0" w:line="364" w:lineRule="auto"/>
        <w:ind w:left="373" w:right="481" w:firstLine="640"/>
        <w:jc w:val="left"/>
        <w:rPr>
          <w:sz w:val="32"/>
        </w:rPr>
      </w:pPr>
      <w:r>
        <w:rPr>
          <w:spacing w:val="-7"/>
          <w:w w:val="99"/>
          <w:sz w:val="32"/>
        </w:rPr>
        <w:t>物业管理区域调整：按照《安徽省物业管理条例》第十二条第二款规定，由县级物业管理主</w:t>
      </w:r>
      <w:r>
        <w:rPr>
          <w:spacing w:val="-2"/>
          <w:w w:val="99"/>
          <w:sz w:val="32"/>
        </w:rPr>
        <w:t>管部门根据《安徽省物业管理条例》第十一条第二款规定的条件依法决定并公告。</w:t>
      </w:r>
    </w:p>
    <w:p>
      <w:pPr>
        <w:pStyle w:val="3"/>
        <w:spacing w:before="2"/>
        <w:ind w:left="1014"/>
        <w:rPr>
          <w:rFonts w:ascii="黑体" w:eastAsia="黑体"/>
        </w:rPr>
      </w:pPr>
      <w:r>
        <w:rPr>
          <w:rFonts w:ascii="黑体" w:eastAsia="黑体"/>
          <w:w w:val="95"/>
        </w:rPr>
        <w:t>二、业主大会、业主委</w:t>
      </w:r>
      <w:r>
        <w:rPr>
          <w:rFonts w:ascii="黑体" w:eastAsia="黑体"/>
          <w:spacing w:val="-5"/>
          <w:w w:val="95"/>
        </w:rPr>
        <w:t>员会</w:t>
      </w:r>
    </w:p>
    <w:p>
      <w:pPr>
        <w:pStyle w:val="9"/>
        <w:numPr>
          <w:ilvl w:val="0"/>
          <w:numId w:val="2"/>
        </w:numPr>
        <w:tabs>
          <w:tab w:val="left" w:pos="1336"/>
        </w:tabs>
        <w:spacing w:before="214" w:after="0" w:line="364" w:lineRule="auto"/>
        <w:ind w:left="373" w:right="479" w:firstLine="640"/>
        <w:jc w:val="both"/>
        <w:rPr>
          <w:sz w:val="32"/>
        </w:rPr>
      </w:pPr>
      <w:r>
        <w:rPr>
          <w:spacing w:val="-6"/>
          <w:w w:val="99"/>
          <w:sz w:val="32"/>
        </w:rPr>
        <w:t>关于业主大会和业主委员会：《安徽省物业管理条例》第十三条明确，物业管理区域内全体</w:t>
      </w:r>
      <w:r>
        <w:rPr>
          <w:spacing w:val="-8"/>
          <w:w w:val="99"/>
          <w:sz w:val="32"/>
        </w:rPr>
        <w:t>业主组成业主大会，选举产生业主委员会作为业主大会的执行机构。第十一条规定，一个物业管理</w:t>
      </w:r>
      <w:r>
        <w:rPr>
          <w:spacing w:val="-2"/>
          <w:w w:val="99"/>
          <w:sz w:val="32"/>
        </w:rPr>
        <w:t>区域只能成立一个业主大会，由一个物业服务企业实施物业管理。</w:t>
      </w:r>
    </w:p>
    <w:p>
      <w:pPr>
        <w:pStyle w:val="9"/>
        <w:numPr>
          <w:ilvl w:val="0"/>
          <w:numId w:val="2"/>
        </w:numPr>
        <w:tabs>
          <w:tab w:val="left" w:pos="1336"/>
        </w:tabs>
        <w:spacing w:before="2" w:after="0" w:line="364" w:lineRule="auto"/>
        <w:ind w:left="373" w:right="479" w:firstLine="640"/>
        <w:jc w:val="both"/>
        <w:rPr>
          <w:sz w:val="32"/>
        </w:rPr>
      </w:pPr>
      <w:r>
        <w:rPr>
          <w:spacing w:val="-6"/>
          <w:w w:val="99"/>
          <w:sz w:val="32"/>
        </w:rPr>
        <w:t>业主大会成立和业委会组建：现行法律法规对发起成立业主大会、组建业委会的时间没有相</w:t>
      </w:r>
      <w:r>
        <w:rPr>
          <w:spacing w:val="-11"/>
          <w:w w:val="99"/>
          <w:sz w:val="32"/>
        </w:rPr>
        <w:t>关条件规定，但《民法典》第二百七十八条第二款对业主共同决定事项提出了业主参与表决专有部</w:t>
      </w:r>
      <w:r>
        <w:rPr>
          <w:spacing w:val="-6"/>
          <w:w w:val="99"/>
          <w:sz w:val="32"/>
        </w:rPr>
        <w:t>分面积和参与表决人数的最低要求。这些最低条件无法满足时，成立业主大会、组建业委会没有实</w:t>
      </w:r>
      <w:r>
        <w:rPr>
          <w:spacing w:val="-2"/>
          <w:w w:val="99"/>
          <w:sz w:val="32"/>
        </w:rPr>
        <w:t>际意义，可组建物业管理委员代行相应职责。</w:t>
      </w:r>
    </w:p>
    <w:p>
      <w:pPr>
        <w:pStyle w:val="9"/>
        <w:numPr>
          <w:ilvl w:val="0"/>
          <w:numId w:val="2"/>
        </w:numPr>
        <w:tabs>
          <w:tab w:val="left" w:pos="1336"/>
        </w:tabs>
        <w:spacing w:before="3" w:after="0" w:line="240" w:lineRule="auto"/>
        <w:ind w:left="1335" w:right="0" w:hanging="322"/>
        <w:jc w:val="left"/>
        <w:rPr>
          <w:sz w:val="32"/>
        </w:rPr>
      </w:pPr>
      <w:r>
        <w:rPr>
          <w:w w:val="95"/>
          <w:sz w:val="32"/>
        </w:rPr>
        <w:t>业主大会筹备组：一旦满足《民法典》第二百七十八条第二款表决专有面积和人数</w:t>
      </w:r>
      <w:r>
        <w:rPr>
          <w:spacing w:val="-3"/>
          <w:w w:val="95"/>
          <w:sz w:val="32"/>
        </w:rPr>
        <w:t>条件，街</w:t>
      </w:r>
    </w:p>
    <w:p>
      <w:pPr>
        <w:spacing w:after="0" w:line="240" w:lineRule="auto"/>
        <w:jc w:val="left"/>
        <w:rPr>
          <w:sz w:val="32"/>
        </w:rPr>
        <w:sectPr>
          <w:pgSz w:w="16840" w:h="11910" w:orient="landscape"/>
          <w:pgMar w:top="1340" w:right="1220" w:bottom="1160" w:left="1100" w:header="0" w:footer="972" w:gutter="0"/>
          <w:cols w:space="720" w:num="1"/>
        </w:sectPr>
      </w:pPr>
    </w:p>
    <w:p>
      <w:pPr>
        <w:pStyle w:val="3"/>
        <w:spacing w:before="8"/>
        <w:rPr>
          <w:sz w:val="18"/>
        </w:rPr>
      </w:pPr>
    </w:p>
    <w:p>
      <w:pPr>
        <w:pStyle w:val="3"/>
        <w:spacing w:before="54" w:line="364" w:lineRule="auto"/>
        <w:ind w:left="373" w:right="481"/>
      </w:pPr>
      <w:r>
        <w:rPr>
          <w:spacing w:val="-8"/>
          <w:w w:val="99"/>
        </w:rPr>
        <w:t>道办事处、乡镇人民政府应当依据《安徽省物业管理条例》第十六条规定，主动征询业主意愿，并</w:t>
      </w:r>
      <w:r>
        <w:rPr>
          <w:spacing w:val="-2"/>
          <w:w w:val="99"/>
        </w:rPr>
        <w:t>在接到业主书面报告之日起四十五日内指导业主成立筹备组。</w:t>
      </w:r>
    </w:p>
    <w:p>
      <w:pPr>
        <w:pStyle w:val="3"/>
        <w:spacing w:before="2" w:line="364" w:lineRule="auto"/>
        <w:ind w:left="373" w:right="481" w:firstLine="640"/>
      </w:pPr>
      <w:r>
        <w:rPr>
          <w:spacing w:val="-7"/>
          <w:w w:val="99"/>
        </w:rPr>
        <w:t>街道办事处、乡镇人民政府应当督促建设单位，及时按照《安徽省物业管理条例》第十五条要</w:t>
      </w:r>
      <w:r>
        <w:rPr>
          <w:spacing w:val="-2"/>
          <w:w w:val="99"/>
        </w:rPr>
        <w:t>求，报送筹备成立首次业主大会会议所需的文件资料。</w:t>
      </w:r>
    </w:p>
    <w:p>
      <w:pPr>
        <w:pStyle w:val="9"/>
        <w:numPr>
          <w:ilvl w:val="0"/>
          <w:numId w:val="2"/>
        </w:numPr>
        <w:tabs>
          <w:tab w:val="left" w:pos="1336"/>
        </w:tabs>
        <w:spacing w:before="2" w:after="0" w:line="364" w:lineRule="auto"/>
        <w:ind w:left="373" w:right="383" w:firstLine="640"/>
        <w:jc w:val="both"/>
        <w:rPr>
          <w:sz w:val="32"/>
        </w:rPr>
      </w:pPr>
      <w:r>
        <w:rPr>
          <w:w w:val="99"/>
          <w:sz w:val="32"/>
        </w:rPr>
        <w:t>业主代表大会：《安徽省物业管理条例》第二十条规定，物业管理区域内业主人数较多的，</w:t>
      </w:r>
      <w:r>
        <w:rPr>
          <w:spacing w:val="-4"/>
          <w:w w:val="99"/>
          <w:sz w:val="32"/>
        </w:rPr>
        <w:t>可以推选业主代表参加业主大会会议。业主大会议事规则应当明确业主代表的推选规则、方法，以</w:t>
      </w:r>
      <w:r>
        <w:rPr>
          <w:spacing w:val="-1"/>
          <w:w w:val="99"/>
          <w:sz w:val="32"/>
        </w:rPr>
        <w:t>及代表业主表决事项等，但不得违反法律法规规定。</w:t>
      </w:r>
    </w:p>
    <w:p>
      <w:pPr>
        <w:pStyle w:val="9"/>
        <w:numPr>
          <w:ilvl w:val="0"/>
          <w:numId w:val="2"/>
        </w:numPr>
        <w:tabs>
          <w:tab w:val="left" w:pos="1495"/>
        </w:tabs>
        <w:spacing w:before="2" w:after="0" w:line="364" w:lineRule="auto"/>
        <w:ind w:left="373" w:right="477" w:firstLine="799"/>
        <w:jc w:val="both"/>
        <w:rPr>
          <w:sz w:val="32"/>
        </w:rPr>
      </w:pPr>
      <w:r>
        <w:rPr>
          <w:spacing w:val="1"/>
          <w:w w:val="99"/>
          <w:sz w:val="32"/>
        </w:rPr>
        <w:t>未按规定组建业主大会筹备组，推进召开业主大会、成立业主委员会：《安徽省物业管理</w:t>
      </w:r>
      <w:r>
        <w:rPr>
          <w:spacing w:val="-10"/>
          <w:w w:val="99"/>
          <w:sz w:val="32"/>
        </w:rPr>
        <w:t>条例》第十六条第二款规定：街道、乡镇人民政府应当在接到书面报告之日起四十五日内组建业主</w:t>
      </w:r>
      <w:r>
        <w:rPr>
          <w:spacing w:val="-2"/>
          <w:w w:val="99"/>
          <w:sz w:val="32"/>
        </w:rPr>
        <w:t>大会筹备组。</w:t>
      </w:r>
      <w:r>
        <w:rPr>
          <w:spacing w:val="20"/>
          <w:sz w:val="32"/>
        </w:rPr>
        <w:t xml:space="preserve"> </w:t>
      </w:r>
      <w:r>
        <w:rPr>
          <w:w w:val="99"/>
          <w:sz w:val="32"/>
        </w:rPr>
        <w:t>第九十五条规定，街道、乡镇在收到筹备首次业主大会书面报告后，未按规定时间</w:t>
      </w:r>
      <w:r>
        <w:rPr>
          <w:spacing w:val="-6"/>
          <w:w w:val="99"/>
          <w:sz w:val="32"/>
        </w:rPr>
        <w:t>组建业主大会筹备组的，由县级人民政府责令限期改正；逾期不改正的，对负有直接责任的主管人</w:t>
      </w:r>
      <w:r>
        <w:rPr>
          <w:spacing w:val="-2"/>
          <w:w w:val="99"/>
          <w:sz w:val="32"/>
        </w:rPr>
        <w:t>员和其他直接责任人员依法给予处分。</w:t>
      </w:r>
    </w:p>
    <w:p>
      <w:pPr>
        <w:pStyle w:val="9"/>
        <w:numPr>
          <w:ilvl w:val="0"/>
          <w:numId w:val="2"/>
        </w:numPr>
        <w:tabs>
          <w:tab w:val="left" w:pos="1336"/>
        </w:tabs>
        <w:spacing w:before="124" w:after="0" w:line="364" w:lineRule="auto"/>
        <w:ind w:left="373" w:right="479" w:firstLine="640"/>
        <w:jc w:val="left"/>
        <w:rPr>
          <w:sz w:val="32"/>
        </w:rPr>
      </w:pPr>
      <w:r>
        <w:rPr>
          <w:spacing w:val="-5"/>
          <w:w w:val="99"/>
          <w:sz w:val="32"/>
        </w:rPr>
        <w:t>不按规定召开临时业主大会的处理：业主委员会未按照《安徽省物业管理条例》第二十二条</w:t>
      </w:r>
      <w:r>
        <w:rPr>
          <w:spacing w:val="-7"/>
          <w:w w:val="99"/>
          <w:sz w:val="32"/>
        </w:rPr>
        <w:t>规定组织召开业主大会临时会议的，街道办事处、乡镇人民政府应当督促或者组织召开业主大会临</w:t>
      </w:r>
    </w:p>
    <w:p>
      <w:pPr>
        <w:spacing w:after="0" w:line="364" w:lineRule="auto"/>
        <w:jc w:val="left"/>
        <w:rPr>
          <w:sz w:val="32"/>
        </w:rPr>
        <w:sectPr>
          <w:pgSz w:w="16840" w:h="11910" w:orient="landscape"/>
          <w:pgMar w:top="1340" w:right="1220" w:bottom="1160" w:left="1100" w:header="0" w:footer="972" w:gutter="0"/>
          <w:cols w:space="720" w:num="1"/>
        </w:sectPr>
      </w:pPr>
    </w:p>
    <w:p>
      <w:pPr>
        <w:pStyle w:val="3"/>
        <w:spacing w:before="8"/>
        <w:rPr>
          <w:sz w:val="18"/>
        </w:rPr>
      </w:pPr>
    </w:p>
    <w:p>
      <w:pPr>
        <w:pStyle w:val="3"/>
        <w:spacing w:before="54"/>
        <w:ind w:left="373"/>
      </w:pPr>
      <w:r>
        <w:rPr>
          <w:w w:val="95"/>
        </w:rPr>
        <w:t>时会议</w:t>
      </w:r>
      <w:r>
        <w:rPr>
          <w:spacing w:val="-10"/>
          <w:w w:val="95"/>
        </w:rPr>
        <w:t>。</w:t>
      </w:r>
    </w:p>
    <w:p>
      <w:pPr>
        <w:pStyle w:val="3"/>
        <w:spacing w:before="4"/>
        <w:rPr>
          <w:sz w:val="25"/>
        </w:rPr>
      </w:pPr>
    </w:p>
    <w:p>
      <w:pPr>
        <w:pStyle w:val="3"/>
        <w:spacing w:before="1"/>
        <w:ind w:left="1014"/>
      </w:pPr>
      <w:r>
        <w:rPr>
          <w:w w:val="95"/>
        </w:rPr>
        <w:t>三、信息</w:t>
      </w:r>
      <w:r>
        <w:rPr>
          <w:spacing w:val="-5"/>
          <w:w w:val="95"/>
        </w:rPr>
        <w:t>公开</w:t>
      </w:r>
    </w:p>
    <w:p>
      <w:pPr>
        <w:pStyle w:val="9"/>
        <w:numPr>
          <w:ilvl w:val="0"/>
          <w:numId w:val="3"/>
        </w:numPr>
        <w:tabs>
          <w:tab w:val="left" w:pos="1336"/>
        </w:tabs>
        <w:spacing w:before="223" w:after="0" w:line="240" w:lineRule="auto"/>
        <w:ind w:left="1335" w:right="0" w:hanging="322"/>
        <w:jc w:val="left"/>
        <w:rPr>
          <w:sz w:val="32"/>
        </w:rPr>
      </w:pPr>
      <w:r>
        <w:rPr>
          <w:w w:val="95"/>
          <w:sz w:val="32"/>
        </w:rPr>
        <w:t>业主大会筹备组</w:t>
      </w:r>
      <w:r>
        <w:rPr>
          <w:spacing w:val="-10"/>
          <w:w w:val="95"/>
          <w:sz w:val="32"/>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《安徽省物业管理条例》第十六条规定，应当公开首次业主大会会议筹备组成员名单</w:t>
      </w:r>
      <w:r>
        <w:rPr>
          <w:spacing w:val="-10"/>
          <w:w w:val="95"/>
          <w:sz w:val="32"/>
        </w:rPr>
        <w:t>。</w:t>
      </w:r>
    </w:p>
    <w:p>
      <w:pPr>
        <w:pStyle w:val="9"/>
        <w:numPr>
          <w:ilvl w:val="1"/>
          <w:numId w:val="3"/>
        </w:numPr>
        <w:tabs>
          <w:tab w:val="left" w:pos="1497"/>
        </w:tabs>
        <w:spacing w:before="214" w:after="0" w:line="364" w:lineRule="auto"/>
        <w:ind w:left="373" w:right="542" w:firstLine="640"/>
        <w:jc w:val="left"/>
        <w:rPr>
          <w:sz w:val="32"/>
        </w:rPr>
      </w:pPr>
      <w:r>
        <w:rPr>
          <w:w w:val="99"/>
          <w:sz w:val="32"/>
        </w:rPr>
        <w:t>《安徽省物业管理条例》第十七条规定，首次召集业主大会会前，公示筹备组工作职责、业主大会会议召开时间、地点、业主投票权以及管理规约、议事规则等。</w:t>
      </w:r>
    </w:p>
    <w:p>
      <w:pPr>
        <w:pStyle w:val="9"/>
        <w:numPr>
          <w:ilvl w:val="0"/>
          <w:numId w:val="3"/>
        </w:numPr>
        <w:tabs>
          <w:tab w:val="left" w:pos="1336"/>
        </w:tabs>
        <w:spacing w:before="2" w:after="0" w:line="240" w:lineRule="auto"/>
        <w:ind w:left="1335" w:right="0" w:hanging="322"/>
        <w:jc w:val="left"/>
        <w:rPr>
          <w:sz w:val="32"/>
        </w:rPr>
      </w:pPr>
      <w:r>
        <w:rPr>
          <w:w w:val="95"/>
          <w:sz w:val="32"/>
        </w:rPr>
        <w:t>县级物业管理主管部门、街道办事处</w:t>
      </w:r>
      <w:r>
        <w:rPr>
          <w:spacing w:val="-10"/>
          <w:w w:val="95"/>
          <w:sz w:val="32"/>
        </w:rPr>
        <w:t>：</w:t>
      </w:r>
    </w:p>
    <w:p>
      <w:pPr>
        <w:pStyle w:val="9"/>
        <w:numPr>
          <w:ilvl w:val="1"/>
          <w:numId w:val="3"/>
        </w:numPr>
        <w:tabs>
          <w:tab w:val="left" w:pos="1574"/>
        </w:tabs>
        <w:spacing w:before="214" w:after="0" w:line="240" w:lineRule="auto"/>
        <w:ind w:left="1573" w:right="0" w:hanging="560"/>
        <w:jc w:val="left"/>
        <w:rPr>
          <w:sz w:val="32"/>
        </w:rPr>
      </w:pPr>
      <w:r>
        <w:rPr>
          <w:w w:val="95"/>
          <w:sz w:val="32"/>
        </w:rPr>
        <w:t>根据《安徽省物业管理条例》第十二条规定，公开物业管理区域划分信</w:t>
      </w:r>
      <w:r>
        <w:rPr>
          <w:spacing w:val="-5"/>
          <w:w w:val="95"/>
          <w:sz w:val="32"/>
        </w:rPr>
        <w:t>息。</w:t>
      </w:r>
    </w:p>
    <w:p>
      <w:pPr>
        <w:pStyle w:val="9"/>
        <w:numPr>
          <w:ilvl w:val="1"/>
          <w:numId w:val="3"/>
        </w:numPr>
        <w:tabs>
          <w:tab w:val="left" w:pos="1574"/>
        </w:tabs>
        <w:spacing w:before="214" w:after="0" w:line="364" w:lineRule="auto"/>
        <w:ind w:left="373" w:right="479" w:firstLine="640"/>
        <w:jc w:val="left"/>
        <w:rPr>
          <w:sz w:val="32"/>
        </w:rPr>
      </w:pPr>
      <w:r>
        <w:rPr>
          <w:spacing w:val="-3"/>
          <w:w w:val="99"/>
          <w:sz w:val="32"/>
        </w:rPr>
        <w:t>根据《安徽省物业管理条例》第三十六条规定，公开改正或撤销业主大会、业主委员会决</w:t>
      </w:r>
      <w:r>
        <w:rPr>
          <w:spacing w:val="-1"/>
          <w:w w:val="99"/>
          <w:sz w:val="32"/>
        </w:rPr>
        <w:t>定的决定。</w:t>
      </w:r>
    </w:p>
    <w:p>
      <w:pPr>
        <w:pStyle w:val="9"/>
        <w:numPr>
          <w:ilvl w:val="1"/>
          <w:numId w:val="3"/>
        </w:numPr>
        <w:tabs>
          <w:tab w:val="left" w:pos="1574"/>
        </w:tabs>
        <w:spacing w:before="1" w:after="0" w:line="240" w:lineRule="auto"/>
        <w:ind w:left="1573" w:right="0" w:hanging="560"/>
        <w:jc w:val="left"/>
        <w:rPr>
          <w:sz w:val="32"/>
        </w:rPr>
      </w:pPr>
      <w:r>
        <w:rPr>
          <w:spacing w:val="-28"/>
          <w:w w:val="95"/>
          <w:sz w:val="32"/>
        </w:rPr>
        <w:t>根据</w:t>
      </w:r>
      <w:r>
        <w:rPr>
          <w:w w:val="95"/>
          <w:sz w:val="32"/>
        </w:rPr>
        <w:t>《安徽省物业管理</w:t>
      </w:r>
      <w:r>
        <w:rPr>
          <w:spacing w:val="-12"/>
          <w:w w:val="95"/>
          <w:sz w:val="32"/>
        </w:rPr>
        <w:t>条例》第四</w:t>
      </w:r>
      <w:r>
        <w:rPr>
          <w:w w:val="95"/>
          <w:sz w:val="32"/>
        </w:rPr>
        <w:t>十二条第四十三条</w:t>
      </w:r>
      <w:r>
        <w:rPr>
          <w:spacing w:val="-12"/>
          <w:w w:val="95"/>
          <w:sz w:val="32"/>
        </w:rPr>
        <w:t>规定，公开</w:t>
      </w:r>
      <w:r>
        <w:rPr>
          <w:w w:val="95"/>
          <w:sz w:val="32"/>
        </w:rPr>
        <w:t>综合查验结果和整改情况</w:t>
      </w:r>
      <w:r>
        <w:rPr>
          <w:spacing w:val="-10"/>
          <w:w w:val="95"/>
          <w:sz w:val="32"/>
        </w:rPr>
        <w:t>。</w:t>
      </w:r>
    </w:p>
    <w:p>
      <w:pPr>
        <w:pStyle w:val="9"/>
        <w:numPr>
          <w:ilvl w:val="1"/>
          <w:numId w:val="3"/>
        </w:numPr>
        <w:tabs>
          <w:tab w:val="left" w:pos="1574"/>
        </w:tabs>
        <w:spacing w:before="214" w:after="0" w:line="240" w:lineRule="auto"/>
        <w:ind w:left="1573" w:right="0" w:hanging="560"/>
        <w:jc w:val="left"/>
        <w:rPr>
          <w:sz w:val="32"/>
        </w:rPr>
      </w:pPr>
      <w:r>
        <w:rPr>
          <w:w w:val="95"/>
          <w:sz w:val="32"/>
        </w:rPr>
        <w:t>根据《安徽省物业管理条例》第七十三条规定，公开服务质量考评结果</w:t>
      </w:r>
      <w:r>
        <w:rPr>
          <w:spacing w:val="-10"/>
          <w:w w:val="95"/>
          <w:sz w:val="32"/>
        </w:rPr>
        <w:t>。</w:t>
      </w:r>
    </w:p>
    <w:p>
      <w:pPr>
        <w:pStyle w:val="9"/>
        <w:numPr>
          <w:ilvl w:val="1"/>
          <w:numId w:val="3"/>
        </w:numPr>
        <w:tabs>
          <w:tab w:val="left" w:pos="1574"/>
        </w:tabs>
        <w:spacing w:before="214" w:after="0" w:line="240" w:lineRule="auto"/>
        <w:ind w:left="1573" w:right="0" w:hanging="560"/>
        <w:jc w:val="left"/>
        <w:rPr>
          <w:sz w:val="32"/>
        </w:rPr>
      </w:pPr>
      <w:r>
        <w:rPr>
          <w:w w:val="95"/>
          <w:sz w:val="32"/>
        </w:rPr>
        <w:t>根据《安徽省物业管理条例》第七十四条规定，公开物业管理区域内监管部门联系方</w:t>
      </w:r>
      <w:r>
        <w:rPr>
          <w:spacing w:val="-5"/>
          <w:w w:val="95"/>
          <w:sz w:val="32"/>
        </w:rPr>
        <w:t>式。</w:t>
      </w:r>
    </w:p>
    <w:p>
      <w:pPr>
        <w:pStyle w:val="9"/>
        <w:numPr>
          <w:ilvl w:val="1"/>
          <w:numId w:val="3"/>
        </w:numPr>
        <w:tabs>
          <w:tab w:val="left" w:pos="1574"/>
        </w:tabs>
        <w:spacing w:before="214" w:after="0" w:line="240" w:lineRule="auto"/>
        <w:ind w:left="1573" w:right="0" w:hanging="560"/>
        <w:jc w:val="left"/>
        <w:rPr>
          <w:sz w:val="32"/>
        </w:rPr>
      </w:pPr>
      <w:r>
        <w:rPr>
          <w:w w:val="95"/>
          <w:sz w:val="32"/>
        </w:rPr>
        <w:t>根据《安徽省物业管理条例》第八十七条规定，公开专项维修资金的交存、使用、增</w:t>
      </w:r>
      <w:r>
        <w:rPr>
          <w:spacing w:val="-5"/>
          <w:w w:val="95"/>
          <w:sz w:val="32"/>
        </w:rPr>
        <w:t>值、</w:t>
      </w:r>
    </w:p>
    <w:p>
      <w:pPr>
        <w:spacing w:after="0" w:line="240" w:lineRule="auto"/>
        <w:jc w:val="left"/>
        <w:rPr>
          <w:sz w:val="32"/>
        </w:rPr>
        <w:sectPr>
          <w:pgSz w:w="16840" w:h="11910" w:orient="landscape"/>
          <w:pgMar w:top="1340" w:right="1220" w:bottom="1160" w:left="1100" w:header="0" w:footer="972" w:gutter="0"/>
          <w:cols w:space="720" w:num="1"/>
        </w:sectPr>
      </w:pPr>
    </w:p>
    <w:p>
      <w:pPr>
        <w:pStyle w:val="3"/>
        <w:spacing w:before="8"/>
        <w:rPr>
          <w:sz w:val="18"/>
        </w:rPr>
      </w:pPr>
    </w:p>
    <w:p>
      <w:pPr>
        <w:pStyle w:val="3"/>
        <w:spacing w:before="54"/>
        <w:ind w:left="373"/>
      </w:pPr>
      <w:r>
        <w:rPr>
          <w:w w:val="95"/>
        </w:rPr>
        <w:t>结存等情</w:t>
      </w:r>
      <w:r>
        <w:rPr>
          <w:spacing w:val="-5"/>
          <w:w w:val="95"/>
        </w:rPr>
        <w:t>况。</w:t>
      </w:r>
    </w:p>
    <w:p>
      <w:pPr>
        <w:pStyle w:val="9"/>
        <w:numPr>
          <w:ilvl w:val="0"/>
          <w:numId w:val="3"/>
        </w:numPr>
        <w:tabs>
          <w:tab w:val="left" w:pos="1336"/>
        </w:tabs>
        <w:spacing w:before="214" w:after="0" w:line="240" w:lineRule="auto"/>
        <w:ind w:left="1335" w:right="0" w:hanging="322"/>
        <w:jc w:val="left"/>
        <w:rPr>
          <w:sz w:val="32"/>
        </w:rPr>
      </w:pPr>
      <w:r>
        <w:rPr>
          <w:w w:val="95"/>
          <w:sz w:val="32"/>
        </w:rPr>
        <w:t>建设单位</w:t>
      </w:r>
      <w:r>
        <w:rPr>
          <w:spacing w:val="-10"/>
          <w:w w:val="95"/>
          <w:sz w:val="32"/>
        </w:rPr>
        <w:t>：</w:t>
      </w:r>
    </w:p>
    <w:p>
      <w:pPr>
        <w:pStyle w:val="9"/>
        <w:numPr>
          <w:ilvl w:val="1"/>
          <w:numId w:val="3"/>
        </w:numPr>
        <w:tabs>
          <w:tab w:val="left" w:pos="1653"/>
        </w:tabs>
        <w:spacing w:before="214" w:after="0" w:line="364" w:lineRule="auto"/>
        <w:ind w:left="373" w:right="321" w:firstLine="640"/>
        <w:jc w:val="left"/>
        <w:rPr>
          <w:sz w:val="32"/>
        </w:rPr>
      </w:pPr>
      <w:r>
        <w:rPr>
          <w:spacing w:val="-17"/>
          <w:w w:val="99"/>
          <w:sz w:val="32"/>
        </w:rPr>
        <w:t>根据《安徽省物业管理条例》第四十五条规定，公开规划设计方案、物业管理区域的划分、</w:t>
      </w:r>
      <w:r>
        <w:rPr>
          <w:spacing w:val="-4"/>
          <w:w w:val="99"/>
          <w:sz w:val="32"/>
        </w:rPr>
        <w:t>临时管理规约及物业服务用房和物业共用部位、共用设施设备、前期物业服务合同等。</w:t>
      </w:r>
    </w:p>
    <w:p>
      <w:pPr>
        <w:pStyle w:val="9"/>
        <w:numPr>
          <w:ilvl w:val="1"/>
          <w:numId w:val="3"/>
        </w:numPr>
        <w:tabs>
          <w:tab w:val="left" w:pos="1574"/>
        </w:tabs>
        <w:spacing w:before="2" w:after="0" w:line="240" w:lineRule="auto"/>
        <w:ind w:left="1573" w:right="0" w:hanging="560"/>
        <w:jc w:val="left"/>
        <w:rPr>
          <w:sz w:val="32"/>
        </w:rPr>
      </w:pPr>
      <w:r>
        <w:rPr>
          <w:w w:val="95"/>
          <w:sz w:val="32"/>
        </w:rPr>
        <w:t>根据《安徽省物业管理条例》第八十二条规定，公开未出售或者未附赠的车位、车库</w:t>
      </w:r>
      <w:r>
        <w:rPr>
          <w:spacing w:val="-10"/>
          <w:w w:val="95"/>
          <w:sz w:val="32"/>
        </w:rPr>
        <w:t>。</w:t>
      </w:r>
    </w:p>
    <w:p>
      <w:pPr>
        <w:pStyle w:val="9"/>
        <w:numPr>
          <w:ilvl w:val="0"/>
          <w:numId w:val="3"/>
        </w:numPr>
        <w:tabs>
          <w:tab w:val="left" w:pos="1336"/>
        </w:tabs>
        <w:spacing w:before="214" w:after="0" w:line="240" w:lineRule="auto"/>
        <w:ind w:left="1335" w:right="0" w:hanging="322"/>
        <w:jc w:val="left"/>
        <w:rPr>
          <w:sz w:val="32"/>
        </w:rPr>
      </w:pPr>
      <w:r>
        <w:rPr>
          <w:w w:val="95"/>
          <w:sz w:val="32"/>
        </w:rPr>
        <w:t>业主委员</w:t>
      </w:r>
      <w:r>
        <w:rPr>
          <w:spacing w:val="-5"/>
          <w:w w:val="95"/>
          <w:sz w:val="32"/>
        </w:rPr>
        <w:t>会：</w:t>
      </w:r>
    </w:p>
    <w:p>
      <w:pPr>
        <w:pStyle w:val="9"/>
        <w:numPr>
          <w:ilvl w:val="1"/>
          <w:numId w:val="3"/>
        </w:numPr>
        <w:tabs>
          <w:tab w:val="left" w:pos="1574"/>
        </w:tabs>
        <w:spacing w:before="214" w:after="0" w:line="364" w:lineRule="auto"/>
        <w:ind w:left="373" w:right="462" w:firstLine="640"/>
        <w:jc w:val="both"/>
        <w:rPr>
          <w:sz w:val="32"/>
        </w:rPr>
      </w:pPr>
      <w:r>
        <w:rPr>
          <w:w w:val="99"/>
          <w:sz w:val="32"/>
        </w:rPr>
        <w:t>根据《安徽省物业管理条例》第四十五条规定，公开包括管理规约、业主大会议事规则，</w:t>
      </w:r>
      <w:r>
        <w:rPr>
          <w:spacing w:val="-5"/>
          <w:w w:val="99"/>
          <w:sz w:val="32"/>
        </w:rPr>
        <w:t>业主大会和业主委员会的决定，物业服务合同，专项维修资金的筹集、使用情况，物业共有部分的</w:t>
      </w:r>
      <w:r>
        <w:rPr>
          <w:spacing w:val="-10"/>
          <w:w w:val="99"/>
          <w:sz w:val="32"/>
        </w:rPr>
        <w:t>收益和使用、分配情况，占用业主共有的道路或者其他场地用于停放汽车车位的处分情况，业主大</w:t>
      </w:r>
      <w:r>
        <w:rPr>
          <w:spacing w:val="-2"/>
          <w:w w:val="99"/>
          <w:sz w:val="32"/>
        </w:rPr>
        <w:t>会和业主委员会工作经费的收支情况等。</w:t>
      </w:r>
    </w:p>
    <w:p>
      <w:pPr>
        <w:pStyle w:val="9"/>
        <w:numPr>
          <w:ilvl w:val="1"/>
          <w:numId w:val="3"/>
        </w:numPr>
        <w:tabs>
          <w:tab w:val="left" w:pos="1574"/>
        </w:tabs>
        <w:spacing w:before="3" w:after="0" w:line="364" w:lineRule="auto"/>
        <w:ind w:left="373" w:right="481" w:firstLine="640"/>
        <w:jc w:val="both"/>
        <w:rPr>
          <w:sz w:val="32"/>
        </w:rPr>
      </w:pPr>
      <w:r>
        <w:rPr>
          <w:spacing w:val="-4"/>
          <w:w w:val="99"/>
          <w:sz w:val="32"/>
        </w:rPr>
        <w:t>根据《安徽省物业管理条例》第三十七条规定，公开业主大会、业主委员会工作经费收支</w:t>
      </w:r>
      <w:r>
        <w:rPr>
          <w:spacing w:val="-1"/>
          <w:w w:val="99"/>
          <w:sz w:val="32"/>
        </w:rPr>
        <w:t>情况。</w:t>
      </w:r>
    </w:p>
    <w:p>
      <w:pPr>
        <w:pStyle w:val="9"/>
        <w:numPr>
          <w:ilvl w:val="1"/>
          <w:numId w:val="3"/>
        </w:numPr>
        <w:tabs>
          <w:tab w:val="left" w:pos="1574"/>
        </w:tabs>
        <w:spacing w:before="2" w:after="0" w:line="364" w:lineRule="auto"/>
        <w:ind w:left="373" w:right="479" w:firstLine="640"/>
        <w:jc w:val="both"/>
        <w:rPr>
          <w:sz w:val="32"/>
        </w:rPr>
      </w:pPr>
      <w:r>
        <w:rPr>
          <w:spacing w:val="-3"/>
          <w:w w:val="99"/>
          <w:sz w:val="32"/>
        </w:rPr>
        <w:t>根据《安徽省物业管理条例》第五十九条规定，公开备选的物业服务企业的基本情况、拟</w:t>
      </w:r>
      <w:r>
        <w:rPr>
          <w:spacing w:val="-1"/>
          <w:w w:val="99"/>
          <w:sz w:val="32"/>
        </w:rPr>
        <w:t>签订的物业服务合同的主要内容。</w:t>
      </w:r>
    </w:p>
    <w:p>
      <w:pPr>
        <w:spacing w:after="0" w:line="364" w:lineRule="auto"/>
        <w:jc w:val="both"/>
        <w:rPr>
          <w:sz w:val="32"/>
        </w:rPr>
        <w:sectPr>
          <w:pgSz w:w="16840" w:h="11910" w:orient="landscape"/>
          <w:pgMar w:top="1340" w:right="1220" w:bottom="1160" w:left="1100" w:header="0" w:footer="972" w:gutter="0"/>
          <w:cols w:space="720" w:num="1"/>
        </w:sectPr>
      </w:pPr>
    </w:p>
    <w:p>
      <w:pPr>
        <w:pStyle w:val="3"/>
        <w:spacing w:before="8"/>
        <w:rPr>
          <w:sz w:val="18"/>
        </w:rPr>
      </w:pPr>
    </w:p>
    <w:p>
      <w:pPr>
        <w:pStyle w:val="9"/>
        <w:numPr>
          <w:ilvl w:val="1"/>
          <w:numId w:val="3"/>
        </w:numPr>
        <w:tabs>
          <w:tab w:val="left" w:pos="1574"/>
        </w:tabs>
        <w:spacing w:before="54" w:after="0" w:line="240" w:lineRule="auto"/>
        <w:ind w:left="1573" w:right="0" w:hanging="560"/>
        <w:jc w:val="left"/>
        <w:rPr>
          <w:sz w:val="32"/>
        </w:rPr>
      </w:pPr>
      <w:r>
        <w:rPr>
          <w:w w:val="95"/>
          <w:sz w:val="32"/>
        </w:rPr>
        <w:t>根据《安徽省物业管理条例》第六十一条规定，公开拟签订的物业服务合同及调整后</w:t>
      </w:r>
      <w:r>
        <w:rPr>
          <w:spacing w:val="-5"/>
          <w:w w:val="95"/>
          <w:sz w:val="32"/>
        </w:rPr>
        <w:t>的内</w:t>
      </w:r>
    </w:p>
    <w:p>
      <w:pPr>
        <w:pStyle w:val="3"/>
        <w:spacing w:before="214"/>
        <w:ind w:left="373"/>
      </w:pPr>
      <w:r>
        <w:rPr>
          <w:w w:val="95"/>
        </w:rPr>
        <w:t>容</w:t>
      </w:r>
      <w:r>
        <w:rPr>
          <w:spacing w:val="-10"/>
          <w:w w:val="95"/>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《安徽省物业管理条例》第六十二条规定，公开提前解除物业服务合同的决定</w:t>
      </w:r>
      <w:r>
        <w:rPr>
          <w:spacing w:val="-10"/>
          <w:w w:val="95"/>
          <w:sz w:val="32"/>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《安徽省物业管理条例》第六十七条规定，公开物业服务情况监督核查报告</w:t>
      </w:r>
      <w:r>
        <w:rPr>
          <w:spacing w:val="-10"/>
          <w:w w:val="95"/>
          <w:sz w:val="32"/>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《安徽省物业专项维修资金管理暂行办法》第十二条规定，公开物业专项维修资金收</w:t>
      </w:r>
      <w:r>
        <w:rPr>
          <w:spacing w:val="-5"/>
          <w:w w:val="95"/>
          <w:sz w:val="32"/>
        </w:rPr>
        <w:t>取、</w:t>
      </w:r>
    </w:p>
    <w:p>
      <w:pPr>
        <w:pStyle w:val="3"/>
        <w:spacing w:before="6"/>
        <w:rPr>
          <w:sz w:val="12"/>
        </w:rPr>
      </w:pPr>
    </w:p>
    <w:p>
      <w:pPr>
        <w:pStyle w:val="3"/>
        <w:spacing w:before="55"/>
        <w:ind w:left="373"/>
      </w:pPr>
      <w:r>
        <w:rPr>
          <w:w w:val="95"/>
        </w:rPr>
        <w:t>使用和管理，以及缴存物业专项维修资金业主名单和金额</w:t>
      </w:r>
      <w:r>
        <w:rPr>
          <w:spacing w:val="-10"/>
          <w:w w:val="95"/>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《安徽省物业专项维修资金管理暂行办法》第十九条规定，公开物业专项维修资金使</w:t>
      </w:r>
      <w:r>
        <w:rPr>
          <w:spacing w:val="-5"/>
          <w:w w:val="95"/>
          <w:sz w:val="32"/>
        </w:rPr>
        <w:t>用计</w:t>
      </w:r>
    </w:p>
    <w:p>
      <w:pPr>
        <w:pStyle w:val="3"/>
        <w:spacing w:before="6"/>
        <w:rPr>
          <w:sz w:val="12"/>
        </w:rPr>
      </w:pPr>
    </w:p>
    <w:p>
      <w:pPr>
        <w:pStyle w:val="3"/>
        <w:spacing w:before="54"/>
        <w:ind w:left="373"/>
      </w:pPr>
      <w:r>
        <w:rPr>
          <w:w w:val="95"/>
        </w:rPr>
        <w:t>划</w:t>
      </w:r>
      <w:r>
        <w:rPr>
          <w:spacing w:val="-10"/>
          <w:w w:val="95"/>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《安徽省物业专项维修资金管理暂行办法》第二十五条规定，公开物业专项维修资金收取</w:t>
      </w:r>
      <w:r>
        <w:rPr>
          <w:spacing w:val="-10"/>
          <w:w w:val="95"/>
          <w:sz w:val="32"/>
        </w:rPr>
        <w:t>、</w:t>
      </w:r>
    </w:p>
    <w:p>
      <w:pPr>
        <w:pStyle w:val="3"/>
        <w:spacing w:before="6"/>
        <w:rPr>
          <w:sz w:val="12"/>
        </w:rPr>
      </w:pPr>
    </w:p>
    <w:p>
      <w:pPr>
        <w:pStyle w:val="3"/>
        <w:spacing w:before="54"/>
        <w:ind w:left="373"/>
      </w:pPr>
      <w:r>
        <w:rPr>
          <w:w w:val="95"/>
        </w:rPr>
        <w:t>使用和管理情况</w:t>
      </w:r>
      <w:r>
        <w:rPr>
          <w:spacing w:val="-10"/>
          <w:w w:val="95"/>
        </w:rPr>
        <w:t>。</w:t>
      </w:r>
    </w:p>
    <w:p>
      <w:pPr>
        <w:pStyle w:val="9"/>
        <w:numPr>
          <w:ilvl w:val="0"/>
          <w:numId w:val="3"/>
        </w:numPr>
        <w:tabs>
          <w:tab w:val="left" w:pos="1336"/>
        </w:tabs>
        <w:spacing w:before="214" w:after="0" w:line="240" w:lineRule="auto"/>
        <w:ind w:left="1335" w:right="0" w:hanging="322"/>
        <w:jc w:val="left"/>
        <w:rPr>
          <w:sz w:val="32"/>
        </w:rPr>
      </w:pPr>
      <w:r>
        <w:rPr>
          <w:w w:val="95"/>
          <w:sz w:val="32"/>
        </w:rPr>
        <w:t>物业服务企业</w:t>
      </w:r>
      <w:r>
        <w:rPr>
          <w:spacing w:val="-10"/>
          <w:w w:val="95"/>
          <w:sz w:val="32"/>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《安徽省物业管理条例》第六十一条规定，公开更换项目负责人信息</w:t>
      </w:r>
      <w:r>
        <w:rPr>
          <w:spacing w:val="-10"/>
          <w:w w:val="95"/>
          <w:sz w:val="32"/>
        </w:rPr>
        <w:t>。</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《安徽省物业管理条例》第五十八条规定，公开物业服务费年度收支情</w:t>
      </w:r>
      <w:r>
        <w:rPr>
          <w:spacing w:val="-5"/>
          <w:w w:val="95"/>
          <w:sz w:val="32"/>
        </w:rPr>
        <w:t>况。</w:t>
      </w:r>
    </w:p>
    <w:p>
      <w:pPr>
        <w:pStyle w:val="9"/>
        <w:numPr>
          <w:ilvl w:val="1"/>
          <w:numId w:val="3"/>
        </w:numPr>
        <w:tabs>
          <w:tab w:val="left" w:pos="1497"/>
        </w:tabs>
        <w:spacing w:before="214" w:after="0" w:line="240" w:lineRule="auto"/>
        <w:ind w:left="1496" w:right="0" w:hanging="483"/>
        <w:jc w:val="left"/>
        <w:rPr>
          <w:sz w:val="32"/>
        </w:rPr>
      </w:pPr>
      <w:r>
        <w:rPr>
          <w:w w:val="95"/>
          <w:sz w:val="32"/>
        </w:rPr>
        <w:t>《安徽省物业管理条例》第六十二条规定，公开提前解除物业服务合同的决定</w:t>
      </w:r>
      <w:r>
        <w:rPr>
          <w:spacing w:val="-10"/>
          <w:w w:val="95"/>
          <w:sz w:val="32"/>
        </w:rPr>
        <w:t>。</w:t>
      </w:r>
    </w:p>
    <w:p>
      <w:pPr>
        <w:spacing w:after="0" w:line="240" w:lineRule="auto"/>
        <w:jc w:val="left"/>
        <w:rPr>
          <w:sz w:val="32"/>
        </w:rPr>
        <w:sectPr>
          <w:pgSz w:w="16840" w:h="11910" w:orient="landscape"/>
          <w:pgMar w:top="1340" w:right="1220" w:bottom="1160" w:left="1100" w:header="0" w:footer="972" w:gutter="0"/>
          <w:cols w:space="720" w:num="1"/>
        </w:sectPr>
      </w:pPr>
    </w:p>
    <w:p>
      <w:pPr>
        <w:pStyle w:val="3"/>
        <w:spacing w:before="8"/>
        <w:rPr>
          <w:sz w:val="18"/>
        </w:rPr>
      </w:pPr>
    </w:p>
    <w:p>
      <w:pPr>
        <w:pStyle w:val="9"/>
        <w:numPr>
          <w:ilvl w:val="1"/>
          <w:numId w:val="3"/>
        </w:numPr>
        <w:tabs>
          <w:tab w:val="left" w:pos="1497"/>
        </w:tabs>
        <w:spacing w:before="54" w:after="0" w:line="364" w:lineRule="auto"/>
        <w:ind w:left="373" w:right="542" w:firstLine="640"/>
        <w:jc w:val="left"/>
        <w:rPr>
          <w:sz w:val="32"/>
        </w:rPr>
      </w:pPr>
      <w:r>
        <w:rPr>
          <w:w w:val="99"/>
          <w:sz w:val="32"/>
        </w:rPr>
        <w:t>《安徽省物业管理条例》第六十七条、六十八条规定，公开物业服务内容、服务标准、收费项目、收费标准，共用部位、共用设施设备产生的供水、供电、供热的用量、单价、金额等。</w:t>
      </w:r>
    </w:p>
    <w:p>
      <w:pPr>
        <w:pStyle w:val="9"/>
        <w:numPr>
          <w:ilvl w:val="1"/>
          <w:numId w:val="3"/>
        </w:numPr>
        <w:tabs>
          <w:tab w:val="left" w:pos="1497"/>
        </w:tabs>
        <w:spacing w:before="2" w:after="0" w:line="240" w:lineRule="auto"/>
        <w:ind w:left="1496" w:right="0" w:hanging="483"/>
        <w:jc w:val="left"/>
        <w:rPr>
          <w:sz w:val="32"/>
        </w:rPr>
      </w:pPr>
      <w:r>
        <w:rPr>
          <w:w w:val="95"/>
          <w:sz w:val="32"/>
        </w:rPr>
        <w:t>《安徽省物业管理条例》第七十一条规定，公开物业共用部位、共用设施设备运行状</w:t>
      </w:r>
      <w:r>
        <w:rPr>
          <w:spacing w:val="-5"/>
          <w:w w:val="95"/>
          <w:sz w:val="32"/>
        </w:rPr>
        <w:t>况。</w:t>
      </w:r>
    </w:p>
    <w:p>
      <w:pPr>
        <w:pStyle w:val="9"/>
        <w:numPr>
          <w:ilvl w:val="1"/>
          <w:numId w:val="3"/>
        </w:numPr>
        <w:tabs>
          <w:tab w:val="left" w:pos="1497"/>
        </w:tabs>
        <w:spacing w:before="214" w:after="0" w:line="364" w:lineRule="auto"/>
        <w:ind w:left="373" w:right="542" w:firstLine="640"/>
        <w:jc w:val="left"/>
        <w:rPr>
          <w:sz w:val="32"/>
        </w:rPr>
      </w:pPr>
      <w:r>
        <w:rPr>
          <w:w w:val="99"/>
          <w:sz w:val="32"/>
        </w:rPr>
        <w:t>《安徽省物业管理条例》第八十四条规定，公开业主共用部位、共用设施设备从事广告等经营性活动情况。</w:t>
      </w:r>
    </w:p>
    <w:p>
      <w:pPr>
        <w:pStyle w:val="9"/>
        <w:numPr>
          <w:ilvl w:val="1"/>
          <w:numId w:val="3"/>
        </w:numPr>
        <w:tabs>
          <w:tab w:val="left" w:pos="1574"/>
        </w:tabs>
        <w:spacing w:before="2" w:after="0" w:line="364" w:lineRule="auto"/>
        <w:ind w:left="373" w:right="481" w:firstLine="640"/>
        <w:jc w:val="left"/>
        <w:rPr>
          <w:sz w:val="32"/>
        </w:rPr>
      </w:pPr>
      <w:r>
        <w:rPr>
          <w:spacing w:val="-2"/>
          <w:w w:val="99"/>
          <w:sz w:val="32"/>
        </w:rPr>
        <w:t>实施物业管理但未成立业主大会的物业管理区域，根据《安徽省物业专项维修资金管理暂</w:t>
      </w:r>
      <w:r>
        <w:rPr>
          <w:w w:val="99"/>
          <w:sz w:val="32"/>
        </w:rPr>
        <w:t>行办法》第十九条，公开物业专项维修资金使用计划。</w:t>
      </w:r>
    </w:p>
    <w:p>
      <w:pPr>
        <w:pStyle w:val="3"/>
        <w:spacing w:line="402" w:lineRule="exact"/>
        <w:ind w:left="1014"/>
      </w:pPr>
      <w:r>
        <w:rPr>
          <w:w w:val="95"/>
        </w:rPr>
        <w:t>四、物业服务质</w:t>
      </w:r>
      <w:r>
        <w:rPr>
          <w:spacing w:val="-10"/>
          <w:w w:val="95"/>
        </w:rPr>
        <w:t>量</w:t>
      </w:r>
    </w:p>
    <w:p>
      <w:pPr>
        <w:pStyle w:val="9"/>
        <w:numPr>
          <w:ilvl w:val="0"/>
          <w:numId w:val="4"/>
        </w:numPr>
        <w:tabs>
          <w:tab w:val="left" w:pos="1336"/>
        </w:tabs>
        <w:spacing w:before="223" w:after="0" w:line="364" w:lineRule="auto"/>
        <w:ind w:left="373" w:right="479" w:firstLine="640"/>
        <w:jc w:val="both"/>
        <w:rPr>
          <w:sz w:val="32"/>
        </w:rPr>
      </w:pPr>
      <w:r>
        <w:rPr>
          <w:spacing w:val="-8"/>
          <w:w w:val="99"/>
          <w:sz w:val="32"/>
        </w:rPr>
        <w:t>物业服务地方标准：《安徽省物业管理条例》规定，物业服务企业应当严格按照国家有关物</w:t>
      </w:r>
      <w:r>
        <w:rPr>
          <w:spacing w:val="-2"/>
          <w:w w:val="99"/>
          <w:sz w:val="32"/>
        </w:rPr>
        <w:t>业服务规范和标准提供服务。推荐执行我省制定的《住宅区物业服务标准》</w:t>
      </w:r>
      <w:r>
        <w:rPr>
          <w:w w:val="99"/>
          <w:sz w:val="32"/>
        </w:rPr>
        <w:t>（</w:t>
      </w:r>
      <w:r>
        <w:rPr>
          <w:spacing w:val="1"/>
          <w:w w:val="99"/>
          <w:sz w:val="32"/>
        </w:rPr>
        <w:t>DB</w:t>
      </w:r>
      <w:r>
        <w:rPr>
          <w:spacing w:val="-2"/>
          <w:w w:val="99"/>
          <w:sz w:val="32"/>
        </w:rPr>
        <w:t>3</w:t>
      </w:r>
      <w:r>
        <w:rPr>
          <w:spacing w:val="1"/>
          <w:w w:val="99"/>
          <w:sz w:val="32"/>
        </w:rPr>
        <w:t>45</w:t>
      </w:r>
      <w:r>
        <w:rPr>
          <w:spacing w:val="-2"/>
          <w:w w:val="99"/>
          <w:sz w:val="32"/>
        </w:rPr>
        <w:t>0</w:t>
      </w:r>
      <w:r>
        <w:rPr>
          <w:spacing w:val="1"/>
          <w:w w:val="99"/>
          <w:sz w:val="32"/>
        </w:rPr>
        <w:t>00</w:t>
      </w:r>
      <w:r>
        <w:rPr>
          <w:spacing w:val="-2"/>
          <w:w w:val="99"/>
          <w:sz w:val="32"/>
        </w:rPr>
        <w:t>-</w:t>
      </w:r>
      <w:r>
        <w:rPr>
          <w:spacing w:val="1"/>
          <w:w w:val="99"/>
          <w:sz w:val="32"/>
        </w:rPr>
        <w:t>20</w:t>
      </w:r>
      <w:r>
        <w:rPr>
          <w:spacing w:val="-2"/>
          <w:w w:val="99"/>
          <w:sz w:val="32"/>
        </w:rPr>
        <w:t>1</w:t>
      </w:r>
      <w:r>
        <w:rPr>
          <w:spacing w:val="1"/>
          <w:w w:val="99"/>
          <w:sz w:val="32"/>
        </w:rPr>
        <w:t>3</w:t>
      </w:r>
      <w:r>
        <w:rPr>
          <w:w w:val="99"/>
          <w:sz w:val="32"/>
        </w:rPr>
        <w:t>），</w:t>
      </w:r>
      <w:r>
        <w:rPr>
          <w:spacing w:val="-3"/>
          <w:w w:val="99"/>
          <w:sz w:val="32"/>
        </w:rPr>
        <w:t>或县级以上人民政府物业管理行政主管部门依照职权制定的物业服务质量标准和技术规范。具体由</w:t>
      </w:r>
      <w:r>
        <w:rPr>
          <w:spacing w:val="-1"/>
          <w:w w:val="99"/>
          <w:sz w:val="32"/>
        </w:rPr>
        <w:t>物业服务合同约定。</w:t>
      </w:r>
    </w:p>
    <w:p>
      <w:pPr>
        <w:pStyle w:val="9"/>
        <w:numPr>
          <w:ilvl w:val="0"/>
          <w:numId w:val="4"/>
        </w:numPr>
        <w:tabs>
          <w:tab w:val="left" w:pos="1336"/>
        </w:tabs>
        <w:spacing w:before="3" w:after="0" w:line="364" w:lineRule="auto"/>
        <w:ind w:left="373" w:right="479" w:firstLine="640"/>
        <w:jc w:val="left"/>
        <w:rPr>
          <w:sz w:val="32"/>
        </w:rPr>
      </w:pPr>
      <w:r>
        <w:rPr>
          <w:spacing w:val="-9"/>
          <w:w w:val="99"/>
          <w:sz w:val="32"/>
        </w:rPr>
        <w:t>政府监督：根据《安徽省物业管理条例》规定，物业管理行政主管部门应当加强对物业服务</w:t>
      </w:r>
      <w:r>
        <w:rPr>
          <w:spacing w:val="-8"/>
          <w:w w:val="99"/>
          <w:sz w:val="32"/>
        </w:rPr>
        <w:t>企业的监督管理，市县物业管理行政主管部门应当参照《物业服务质量第三方评估标准》，定期对</w:t>
      </w:r>
    </w:p>
    <w:p>
      <w:pPr>
        <w:spacing w:after="0" w:line="364" w:lineRule="auto"/>
        <w:jc w:val="left"/>
        <w:rPr>
          <w:sz w:val="32"/>
        </w:rPr>
        <w:sectPr>
          <w:pgSz w:w="16840" w:h="11910" w:orient="landscape"/>
          <w:pgMar w:top="1340" w:right="1220" w:bottom="1160" w:left="1100" w:header="0" w:footer="972" w:gutter="0"/>
          <w:cols w:space="720" w:num="1"/>
        </w:sectPr>
      </w:pPr>
    </w:p>
    <w:p>
      <w:pPr>
        <w:pStyle w:val="3"/>
        <w:spacing w:before="8"/>
        <w:rPr>
          <w:sz w:val="18"/>
        </w:rPr>
      </w:pPr>
    </w:p>
    <w:p>
      <w:pPr>
        <w:pStyle w:val="3"/>
        <w:spacing w:before="54"/>
        <w:ind w:left="373"/>
      </w:pPr>
      <w:r>
        <w:rPr>
          <w:w w:val="95"/>
        </w:rPr>
        <w:t>服务质量进行考核，并向社会公开考核结果</w:t>
      </w:r>
      <w:r>
        <w:rPr>
          <w:spacing w:val="-10"/>
          <w:w w:val="95"/>
        </w:rPr>
        <w:t>。</w:t>
      </w:r>
    </w:p>
    <w:p>
      <w:pPr>
        <w:pStyle w:val="3"/>
        <w:spacing w:before="205"/>
        <w:ind w:left="1014"/>
      </w:pPr>
      <w:r>
        <w:rPr>
          <w:w w:val="95"/>
        </w:rPr>
        <w:t>五、工程质量问</w:t>
      </w:r>
      <w:r>
        <w:rPr>
          <w:spacing w:val="-10"/>
          <w:w w:val="95"/>
        </w:rPr>
        <w:t>题</w:t>
      </w:r>
    </w:p>
    <w:p>
      <w:pPr>
        <w:pStyle w:val="9"/>
        <w:numPr>
          <w:ilvl w:val="0"/>
          <w:numId w:val="5"/>
        </w:numPr>
        <w:tabs>
          <w:tab w:val="left" w:pos="1336"/>
        </w:tabs>
        <w:spacing w:before="223" w:after="0" w:line="364" w:lineRule="auto"/>
        <w:ind w:left="373" w:right="479" w:firstLine="640"/>
        <w:jc w:val="both"/>
        <w:rPr>
          <w:sz w:val="32"/>
        </w:rPr>
      </w:pPr>
      <w:r>
        <w:rPr>
          <w:spacing w:val="-5"/>
          <w:w w:val="99"/>
          <w:sz w:val="32"/>
        </w:rPr>
        <w:t>房屋质量常见纠纷的处理：商品房在保修期限内发生的属于保修范围的质量问题，依照《商</w:t>
      </w:r>
      <w:r>
        <w:rPr>
          <w:spacing w:val="-9"/>
          <w:w w:val="99"/>
          <w:sz w:val="32"/>
        </w:rPr>
        <w:t>品房销售管理办法》由开发建设单位履行保修义务。开发建设单位推诿、不履行保修义务或多次维修仍未解决的，由住房城乡建设部门依照《安徽省建设工程质量投诉处理办法》处理。超过保修期发生质量问题的，专有部位维修费用由业主承担，共用部位按规定申请使用物业专项维修资金。依</w:t>
      </w:r>
      <w:r>
        <w:rPr>
          <w:spacing w:val="-2"/>
          <w:w w:val="99"/>
          <w:sz w:val="32"/>
        </w:rPr>
        <w:t>照《安徽省物业专项维修资金管理暂行办法》第十七条规定使用物业专项维修资金修缮。</w:t>
      </w:r>
    </w:p>
    <w:p>
      <w:pPr>
        <w:pStyle w:val="9"/>
        <w:numPr>
          <w:ilvl w:val="0"/>
          <w:numId w:val="5"/>
        </w:numPr>
        <w:tabs>
          <w:tab w:val="left" w:pos="1336"/>
        </w:tabs>
        <w:spacing w:before="4" w:after="0" w:line="240" w:lineRule="auto"/>
        <w:ind w:left="1335" w:right="0" w:hanging="322"/>
        <w:jc w:val="left"/>
        <w:rPr>
          <w:sz w:val="32"/>
        </w:rPr>
      </w:pPr>
      <w:r>
        <w:rPr>
          <w:w w:val="95"/>
          <w:sz w:val="32"/>
        </w:rPr>
        <w:t>业主共有部位和自用部位的划分：依照《安徽省物业管理条例》规定</w:t>
      </w:r>
      <w:r>
        <w:rPr>
          <w:spacing w:val="-10"/>
          <w:w w:val="95"/>
          <w:sz w:val="32"/>
        </w:rPr>
        <w:t>。</w:t>
      </w:r>
    </w:p>
    <w:p>
      <w:pPr>
        <w:pStyle w:val="9"/>
        <w:numPr>
          <w:ilvl w:val="0"/>
          <w:numId w:val="5"/>
        </w:numPr>
        <w:tabs>
          <w:tab w:val="left" w:pos="1336"/>
        </w:tabs>
        <w:spacing w:before="214" w:after="0" w:line="364" w:lineRule="auto"/>
        <w:ind w:left="373" w:right="481" w:firstLine="640"/>
        <w:jc w:val="both"/>
        <w:rPr>
          <w:sz w:val="32"/>
        </w:rPr>
      </w:pPr>
      <w:r>
        <w:rPr>
          <w:spacing w:val="-7"/>
          <w:w w:val="99"/>
          <w:sz w:val="32"/>
        </w:rPr>
        <w:t>样板房与交付房屋纠纷：依据《商品房销售管理办法》第三十一条规定，房地产开发企业销售商品房时设置样板房的，应当说明实际交付的商品房质量、设备及装修与样板房是否一致，未作</w:t>
      </w:r>
      <w:r>
        <w:rPr>
          <w:spacing w:val="-2"/>
          <w:w w:val="99"/>
          <w:sz w:val="32"/>
        </w:rPr>
        <w:t>说明的，实际交付的商品房应当与样板房一致。</w:t>
      </w:r>
    </w:p>
    <w:p>
      <w:pPr>
        <w:spacing w:after="0" w:line="364" w:lineRule="auto"/>
        <w:jc w:val="both"/>
        <w:rPr>
          <w:sz w:val="32"/>
        </w:rPr>
        <w:sectPr>
          <w:pgSz w:w="16840" w:h="11910" w:orient="landscape"/>
          <w:pgMar w:top="1340" w:right="1220" w:bottom="1160" w:left="1100" w:header="0" w:footer="972" w:gutter="0"/>
          <w:cols w:space="720" w:num="1"/>
        </w:sectPr>
      </w:pPr>
    </w:p>
    <w:p>
      <w:pPr>
        <w:pStyle w:val="3"/>
        <w:rPr>
          <w:sz w:val="20"/>
        </w:rPr>
      </w:pPr>
      <w:r>
        <w:pict>
          <v:shape id="docshape19" o:spid="_x0000_s1042" style="position:absolute;left:0pt;margin-left:76.55pt;margin-top:768.2pt;height:1.55pt;width:445.05pt;mso-position-horizontal-relative:page;mso-position-vertical-relative:page;z-index:251660288;mso-width-relative:page;mso-height-relative:page;" fillcolor="#000000" filled="t" stroked="f" coordorigin="1531,15365" coordsize="8901,31" path="m10432,15396l1531,15395,1531,15365,10432,15366,10432,15396xe">
            <v:path arrowok="t"/>
            <v:fill on="t" focussize="0,0"/>
            <v:stroke on="f"/>
            <v:imagedata o:title=""/>
            <o:lock v:ext="edit"/>
          </v:shape>
        </w:pict>
      </w:r>
      <w:r>
        <w:pict>
          <v:shape id="docshape20" o:spid="_x0000_s1043" style="position:absolute;left:0pt;margin-left:76.55pt;margin-top:737.8pt;height:1.5pt;width:446.25pt;mso-position-horizontal-relative:page;mso-position-vertical-relative:page;z-index:251661312;mso-width-relative:page;mso-height-relative:page;" fillcolor="#000000" filled="t" stroked="f" coordorigin="1531,14756" coordsize="8925,30" path="m10456,14756l1531,14756,1531,14761,1531,14781,1531,14786,10456,14786,10456,14781,10456,14761,10456,14756xe">
            <v:path arrowok="t"/>
            <v:fill on="t" focussize="0,0"/>
            <v:stroke on="f"/>
            <v:imagedata o:title=""/>
            <o:lock v:ext="edit"/>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5666"/>
        </w:tabs>
        <w:spacing w:before="205"/>
        <w:ind w:left="127" w:right="0" w:firstLine="0"/>
        <w:jc w:val="left"/>
        <w:rPr>
          <w:rFonts w:ascii="宋体" w:eastAsia="宋体"/>
          <w:sz w:val="28"/>
        </w:rPr>
      </w:pPr>
      <w:r>
        <w:rPr>
          <w:rFonts w:ascii="宋体" w:eastAsia="宋体"/>
          <w:spacing w:val="-6"/>
          <w:sz w:val="28"/>
        </w:rPr>
        <w:t>安徽省住房和城乡建设厅办公</w:t>
      </w:r>
      <w:r>
        <w:rPr>
          <w:rFonts w:ascii="宋体" w:eastAsia="宋体"/>
          <w:spacing w:val="-10"/>
          <w:sz w:val="28"/>
        </w:rPr>
        <w:t>室</w:t>
      </w:r>
      <w:r>
        <w:rPr>
          <w:rFonts w:ascii="宋体" w:eastAsia="宋体"/>
          <w:sz w:val="28"/>
        </w:rPr>
        <w:tab/>
      </w:r>
      <w:r>
        <w:rPr>
          <w:rFonts w:ascii="宋体" w:eastAsia="宋体"/>
          <w:spacing w:val="-2"/>
          <w:sz w:val="28"/>
        </w:rPr>
        <w:t>2023</w:t>
      </w:r>
      <w:r>
        <w:rPr>
          <w:rFonts w:ascii="宋体" w:eastAsia="宋体"/>
          <w:spacing w:val="-76"/>
          <w:sz w:val="28"/>
        </w:rPr>
        <w:t xml:space="preserve"> </w:t>
      </w:r>
      <w:r>
        <w:rPr>
          <w:rFonts w:ascii="宋体" w:eastAsia="宋体"/>
          <w:spacing w:val="-2"/>
          <w:sz w:val="28"/>
        </w:rPr>
        <w:t>年</w:t>
      </w:r>
      <w:r>
        <w:rPr>
          <w:rFonts w:ascii="宋体" w:eastAsia="宋体"/>
          <w:spacing w:val="-75"/>
          <w:sz w:val="28"/>
        </w:rPr>
        <w:t xml:space="preserve"> </w:t>
      </w:r>
      <w:r>
        <w:rPr>
          <w:rFonts w:ascii="宋体" w:eastAsia="宋体"/>
          <w:spacing w:val="-2"/>
          <w:sz w:val="28"/>
        </w:rPr>
        <w:t>5</w:t>
      </w:r>
      <w:r>
        <w:rPr>
          <w:rFonts w:ascii="宋体" w:eastAsia="宋体"/>
          <w:spacing w:val="-71"/>
          <w:sz w:val="28"/>
        </w:rPr>
        <w:t xml:space="preserve"> </w:t>
      </w:r>
      <w:r>
        <w:rPr>
          <w:rFonts w:ascii="宋体" w:eastAsia="宋体"/>
          <w:spacing w:val="-2"/>
          <w:sz w:val="28"/>
        </w:rPr>
        <w:t>月</w:t>
      </w:r>
      <w:r>
        <w:rPr>
          <w:rFonts w:ascii="宋体" w:eastAsia="宋体"/>
          <w:spacing w:val="-75"/>
          <w:sz w:val="28"/>
        </w:rPr>
        <w:t xml:space="preserve"> </w:t>
      </w:r>
      <w:r>
        <w:rPr>
          <w:rFonts w:ascii="宋体" w:eastAsia="宋体"/>
          <w:spacing w:val="-2"/>
          <w:sz w:val="28"/>
        </w:rPr>
        <w:t>24</w:t>
      </w:r>
      <w:r>
        <w:rPr>
          <w:rFonts w:ascii="宋体" w:eastAsia="宋体"/>
          <w:spacing w:val="-73"/>
          <w:sz w:val="28"/>
        </w:rPr>
        <w:t xml:space="preserve"> </w:t>
      </w:r>
      <w:r>
        <w:rPr>
          <w:rFonts w:ascii="宋体" w:eastAsia="宋体"/>
          <w:spacing w:val="-2"/>
          <w:sz w:val="28"/>
        </w:rPr>
        <w:t>日印</w:t>
      </w:r>
      <w:r>
        <w:rPr>
          <w:rFonts w:ascii="宋体" w:eastAsia="宋体"/>
          <w:spacing w:val="-10"/>
          <w:sz w:val="28"/>
        </w:rPr>
        <w:t>发</w:t>
      </w:r>
    </w:p>
    <w:sectPr>
      <w:footerReference r:id="rId7" w:type="default"/>
      <w:pgSz w:w="11910" w:h="16840"/>
      <w:pgMar w:top="192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Segoe Print"/>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7" o:spid="_x0000_s2049" o:spt="202" type="#_x0000_t202" style="position:absolute;left:0pt;margin-left:393.2pt;margin-top:535.65pt;height:15.3pt;width:4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04" w:lineRule="exact"/>
                  <w:ind w:left="20" w:right="0" w:firstLine="0"/>
                  <w:jc w:val="left"/>
                  <w:rPr>
                    <w:rFonts w:ascii="宋体" w:hAnsi="宋体"/>
                    <w:sz w:val="24"/>
                  </w:rPr>
                </w:pPr>
                <w:r>
                  <w:rPr>
                    <w:rFonts w:ascii="宋体" w:hAnsi="宋体"/>
                    <w:sz w:val="24"/>
                  </w:rPr>
                  <w:t xml:space="preserve">— </w:t>
                </w: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pacing w:val="60"/>
                    <w:sz w:val="24"/>
                  </w:rPr>
                  <w:t xml:space="preserve"> </w:t>
                </w:r>
                <w:r>
                  <w:rPr>
                    <w:rFonts w:ascii="宋体" w:hAnsi="宋体"/>
                    <w:spacing w:val="-10"/>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8" o:spid="_x0000_s2050" o:spt="202" type="#_x0000_t202" style="position:absolute;left:0pt;margin-left:390.2pt;margin-top:535.65pt;height:15.3pt;width:50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04" w:lineRule="exact"/>
                  <w:ind w:left="20" w:right="0" w:firstLine="0"/>
                  <w:jc w:val="left"/>
                  <w:rPr>
                    <w:rFonts w:ascii="宋体" w:hAnsi="宋体"/>
                    <w:sz w:val="24"/>
                  </w:rPr>
                </w:pPr>
                <w:r>
                  <w:rPr>
                    <w:rFonts w:ascii="宋体" w:hAnsi="宋体"/>
                    <w:sz w:val="24"/>
                  </w:rPr>
                  <w:t xml:space="preserve">— </w:t>
                </w: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pacing w:val="60"/>
                    <w:sz w:val="24"/>
                  </w:rPr>
                  <w:t xml:space="preserve"> </w:t>
                </w:r>
                <w:r>
                  <w:rPr>
                    <w:rFonts w:ascii="宋体" w:hAnsi="宋体"/>
                    <w:spacing w:val="-10"/>
                    <w:sz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73"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1793" w:hanging="322"/>
      </w:pPr>
      <w:rPr>
        <w:rFonts w:hint="default"/>
        <w:lang w:val="en-US" w:eastAsia="zh-CN" w:bidi="ar-SA"/>
      </w:rPr>
    </w:lvl>
    <w:lvl w:ilvl="2" w:tentative="0">
      <w:start w:val="0"/>
      <w:numFmt w:val="bullet"/>
      <w:lvlText w:val="•"/>
      <w:lvlJc w:val="left"/>
      <w:pPr>
        <w:ind w:left="3207" w:hanging="322"/>
      </w:pPr>
      <w:rPr>
        <w:rFonts w:hint="default"/>
        <w:lang w:val="en-US" w:eastAsia="zh-CN" w:bidi="ar-SA"/>
      </w:rPr>
    </w:lvl>
    <w:lvl w:ilvl="3" w:tentative="0">
      <w:start w:val="0"/>
      <w:numFmt w:val="bullet"/>
      <w:lvlText w:val="•"/>
      <w:lvlJc w:val="left"/>
      <w:pPr>
        <w:ind w:left="4621" w:hanging="322"/>
      </w:pPr>
      <w:rPr>
        <w:rFonts w:hint="default"/>
        <w:lang w:val="en-US" w:eastAsia="zh-CN" w:bidi="ar-SA"/>
      </w:rPr>
    </w:lvl>
    <w:lvl w:ilvl="4" w:tentative="0">
      <w:start w:val="0"/>
      <w:numFmt w:val="bullet"/>
      <w:lvlText w:val="•"/>
      <w:lvlJc w:val="left"/>
      <w:pPr>
        <w:ind w:left="6035" w:hanging="322"/>
      </w:pPr>
      <w:rPr>
        <w:rFonts w:hint="default"/>
        <w:lang w:val="en-US" w:eastAsia="zh-CN" w:bidi="ar-SA"/>
      </w:rPr>
    </w:lvl>
    <w:lvl w:ilvl="5" w:tentative="0">
      <w:start w:val="0"/>
      <w:numFmt w:val="bullet"/>
      <w:lvlText w:val="•"/>
      <w:lvlJc w:val="left"/>
      <w:pPr>
        <w:ind w:left="7449" w:hanging="322"/>
      </w:pPr>
      <w:rPr>
        <w:rFonts w:hint="default"/>
        <w:lang w:val="en-US" w:eastAsia="zh-CN" w:bidi="ar-SA"/>
      </w:rPr>
    </w:lvl>
    <w:lvl w:ilvl="6" w:tentative="0">
      <w:start w:val="0"/>
      <w:numFmt w:val="bullet"/>
      <w:lvlText w:val="•"/>
      <w:lvlJc w:val="left"/>
      <w:pPr>
        <w:ind w:left="8862" w:hanging="322"/>
      </w:pPr>
      <w:rPr>
        <w:rFonts w:hint="default"/>
        <w:lang w:val="en-US" w:eastAsia="zh-CN" w:bidi="ar-SA"/>
      </w:rPr>
    </w:lvl>
    <w:lvl w:ilvl="7" w:tentative="0">
      <w:start w:val="0"/>
      <w:numFmt w:val="bullet"/>
      <w:lvlText w:val="•"/>
      <w:lvlJc w:val="left"/>
      <w:pPr>
        <w:ind w:left="10276" w:hanging="322"/>
      </w:pPr>
      <w:rPr>
        <w:rFonts w:hint="default"/>
        <w:lang w:val="en-US" w:eastAsia="zh-CN" w:bidi="ar-SA"/>
      </w:rPr>
    </w:lvl>
    <w:lvl w:ilvl="8" w:tentative="0">
      <w:start w:val="0"/>
      <w:numFmt w:val="bullet"/>
      <w:lvlText w:val="•"/>
      <w:lvlJc w:val="left"/>
      <w:pPr>
        <w:ind w:left="11690" w:hanging="322"/>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373"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1793" w:hanging="322"/>
      </w:pPr>
      <w:rPr>
        <w:rFonts w:hint="default"/>
        <w:lang w:val="en-US" w:eastAsia="zh-CN" w:bidi="ar-SA"/>
      </w:rPr>
    </w:lvl>
    <w:lvl w:ilvl="2" w:tentative="0">
      <w:start w:val="0"/>
      <w:numFmt w:val="bullet"/>
      <w:lvlText w:val="•"/>
      <w:lvlJc w:val="left"/>
      <w:pPr>
        <w:ind w:left="3207" w:hanging="322"/>
      </w:pPr>
      <w:rPr>
        <w:rFonts w:hint="default"/>
        <w:lang w:val="en-US" w:eastAsia="zh-CN" w:bidi="ar-SA"/>
      </w:rPr>
    </w:lvl>
    <w:lvl w:ilvl="3" w:tentative="0">
      <w:start w:val="0"/>
      <w:numFmt w:val="bullet"/>
      <w:lvlText w:val="•"/>
      <w:lvlJc w:val="left"/>
      <w:pPr>
        <w:ind w:left="4621" w:hanging="322"/>
      </w:pPr>
      <w:rPr>
        <w:rFonts w:hint="default"/>
        <w:lang w:val="en-US" w:eastAsia="zh-CN" w:bidi="ar-SA"/>
      </w:rPr>
    </w:lvl>
    <w:lvl w:ilvl="4" w:tentative="0">
      <w:start w:val="0"/>
      <w:numFmt w:val="bullet"/>
      <w:lvlText w:val="•"/>
      <w:lvlJc w:val="left"/>
      <w:pPr>
        <w:ind w:left="6035" w:hanging="322"/>
      </w:pPr>
      <w:rPr>
        <w:rFonts w:hint="default"/>
        <w:lang w:val="en-US" w:eastAsia="zh-CN" w:bidi="ar-SA"/>
      </w:rPr>
    </w:lvl>
    <w:lvl w:ilvl="5" w:tentative="0">
      <w:start w:val="0"/>
      <w:numFmt w:val="bullet"/>
      <w:lvlText w:val="•"/>
      <w:lvlJc w:val="left"/>
      <w:pPr>
        <w:ind w:left="7449" w:hanging="322"/>
      </w:pPr>
      <w:rPr>
        <w:rFonts w:hint="default"/>
        <w:lang w:val="en-US" w:eastAsia="zh-CN" w:bidi="ar-SA"/>
      </w:rPr>
    </w:lvl>
    <w:lvl w:ilvl="6" w:tentative="0">
      <w:start w:val="0"/>
      <w:numFmt w:val="bullet"/>
      <w:lvlText w:val="•"/>
      <w:lvlJc w:val="left"/>
      <w:pPr>
        <w:ind w:left="8862" w:hanging="322"/>
      </w:pPr>
      <w:rPr>
        <w:rFonts w:hint="default"/>
        <w:lang w:val="en-US" w:eastAsia="zh-CN" w:bidi="ar-SA"/>
      </w:rPr>
    </w:lvl>
    <w:lvl w:ilvl="7" w:tentative="0">
      <w:start w:val="0"/>
      <w:numFmt w:val="bullet"/>
      <w:lvlText w:val="•"/>
      <w:lvlJc w:val="left"/>
      <w:pPr>
        <w:ind w:left="10276" w:hanging="322"/>
      </w:pPr>
      <w:rPr>
        <w:rFonts w:hint="default"/>
        <w:lang w:val="en-US" w:eastAsia="zh-CN" w:bidi="ar-SA"/>
      </w:rPr>
    </w:lvl>
    <w:lvl w:ilvl="8" w:tentative="0">
      <w:start w:val="0"/>
      <w:numFmt w:val="bullet"/>
      <w:lvlText w:val="•"/>
      <w:lvlJc w:val="left"/>
      <w:pPr>
        <w:ind w:left="11690" w:hanging="322"/>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373" w:hanging="322"/>
        <w:jc w:val="righ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1793" w:hanging="322"/>
      </w:pPr>
      <w:rPr>
        <w:rFonts w:hint="default"/>
        <w:lang w:val="en-US" w:eastAsia="zh-CN" w:bidi="ar-SA"/>
      </w:rPr>
    </w:lvl>
    <w:lvl w:ilvl="2" w:tentative="0">
      <w:start w:val="0"/>
      <w:numFmt w:val="bullet"/>
      <w:lvlText w:val="•"/>
      <w:lvlJc w:val="left"/>
      <w:pPr>
        <w:ind w:left="3207" w:hanging="322"/>
      </w:pPr>
      <w:rPr>
        <w:rFonts w:hint="default"/>
        <w:lang w:val="en-US" w:eastAsia="zh-CN" w:bidi="ar-SA"/>
      </w:rPr>
    </w:lvl>
    <w:lvl w:ilvl="3" w:tentative="0">
      <w:start w:val="0"/>
      <w:numFmt w:val="bullet"/>
      <w:lvlText w:val="•"/>
      <w:lvlJc w:val="left"/>
      <w:pPr>
        <w:ind w:left="4621" w:hanging="322"/>
      </w:pPr>
      <w:rPr>
        <w:rFonts w:hint="default"/>
        <w:lang w:val="en-US" w:eastAsia="zh-CN" w:bidi="ar-SA"/>
      </w:rPr>
    </w:lvl>
    <w:lvl w:ilvl="4" w:tentative="0">
      <w:start w:val="0"/>
      <w:numFmt w:val="bullet"/>
      <w:lvlText w:val="•"/>
      <w:lvlJc w:val="left"/>
      <w:pPr>
        <w:ind w:left="6035" w:hanging="322"/>
      </w:pPr>
      <w:rPr>
        <w:rFonts w:hint="default"/>
        <w:lang w:val="en-US" w:eastAsia="zh-CN" w:bidi="ar-SA"/>
      </w:rPr>
    </w:lvl>
    <w:lvl w:ilvl="5" w:tentative="0">
      <w:start w:val="0"/>
      <w:numFmt w:val="bullet"/>
      <w:lvlText w:val="•"/>
      <w:lvlJc w:val="left"/>
      <w:pPr>
        <w:ind w:left="7449" w:hanging="322"/>
      </w:pPr>
      <w:rPr>
        <w:rFonts w:hint="default"/>
        <w:lang w:val="en-US" w:eastAsia="zh-CN" w:bidi="ar-SA"/>
      </w:rPr>
    </w:lvl>
    <w:lvl w:ilvl="6" w:tentative="0">
      <w:start w:val="0"/>
      <w:numFmt w:val="bullet"/>
      <w:lvlText w:val="•"/>
      <w:lvlJc w:val="left"/>
      <w:pPr>
        <w:ind w:left="8862" w:hanging="322"/>
      </w:pPr>
      <w:rPr>
        <w:rFonts w:hint="default"/>
        <w:lang w:val="en-US" w:eastAsia="zh-CN" w:bidi="ar-SA"/>
      </w:rPr>
    </w:lvl>
    <w:lvl w:ilvl="7" w:tentative="0">
      <w:start w:val="0"/>
      <w:numFmt w:val="bullet"/>
      <w:lvlText w:val="•"/>
      <w:lvlJc w:val="left"/>
      <w:pPr>
        <w:ind w:left="10276" w:hanging="322"/>
      </w:pPr>
      <w:rPr>
        <w:rFonts w:hint="default"/>
        <w:lang w:val="en-US" w:eastAsia="zh-CN" w:bidi="ar-SA"/>
      </w:rPr>
    </w:lvl>
    <w:lvl w:ilvl="8" w:tentative="0">
      <w:start w:val="0"/>
      <w:numFmt w:val="bullet"/>
      <w:lvlText w:val="•"/>
      <w:lvlJc w:val="left"/>
      <w:pPr>
        <w:ind w:left="11690" w:hanging="322"/>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373"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1793" w:hanging="322"/>
      </w:pPr>
      <w:rPr>
        <w:rFonts w:hint="default"/>
        <w:lang w:val="en-US" w:eastAsia="zh-CN" w:bidi="ar-SA"/>
      </w:rPr>
    </w:lvl>
    <w:lvl w:ilvl="2" w:tentative="0">
      <w:start w:val="0"/>
      <w:numFmt w:val="bullet"/>
      <w:lvlText w:val="•"/>
      <w:lvlJc w:val="left"/>
      <w:pPr>
        <w:ind w:left="3207" w:hanging="322"/>
      </w:pPr>
      <w:rPr>
        <w:rFonts w:hint="default"/>
        <w:lang w:val="en-US" w:eastAsia="zh-CN" w:bidi="ar-SA"/>
      </w:rPr>
    </w:lvl>
    <w:lvl w:ilvl="3" w:tentative="0">
      <w:start w:val="0"/>
      <w:numFmt w:val="bullet"/>
      <w:lvlText w:val="•"/>
      <w:lvlJc w:val="left"/>
      <w:pPr>
        <w:ind w:left="4621" w:hanging="322"/>
      </w:pPr>
      <w:rPr>
        <w:rFonts w:hint="default"/>
        <w:lang w:val="en-US" w:eastAsia="zh-CN" w:bidi="ar-SA"/>
      </w:rPr>
    </w:lvl>
    <w:lvl w:ilvl="4" w:tentative="0">
      <w:start w:val="0"/>
      <w:numFmt w:val="bullet"/>
      <w:lvlText w:val="•"/>
      <w:lvlJc w:val="left"/>
      <w:pPr>
        <w:ind w:left="6035" w:hanging="322"/>
      </w:pPr>
      <w:rPr>
        <w:rFonts w:hint="default"/>
        <w:lang w:val="en-US" w:eastAsia="zh-CN" w:bidi="ar-SA"/>
      </w:rPr>
    </w:lvl>
    <w:lvl w:ilvl="5" w:tentative="0">
      <w:start w:val="0"/>
      <w:numFmt w:val="bullet"/>
      <w:lvlText w:val="•"/>
      <w:lvlJc w:val="left"/>
      <w:pPr>
        <w:ind w:left="7449" w:hanging="322"/>
      </w:pPr>
      <w:rPr>
        <w:rFonts w:hint="default"/>
        <w:lang w:val="en-US" w:eastAsia="zh-CN" w:bidi="ar-SA"/>
      </w:rPr>
    </w:lvl>
    <w:lvl w:ilvl="6" w:tentative="0">
      <w:start w:val="0"/>
      <w:numFmt w:val="bullet"/>
      <w:lvlText w:val="•"/>
      <w:lvlJc w:val="left"/>
      <w:pPr>
        <w:ind w:left="8862" w:hanging="322"/>
      </w:pPr>
      <w:rPr>
        <w:rFonts w:hint="default"/>
        <w:lang w:val="en-US" w:eastAsia="zh-CN" w:bidi="ar-SA"/>
      </w:rPr>
    </w:lvl>
    <w:lvl w:ilvl="7" w:tentative="0">
      <w:start w:val="0"/>
      <w:numFmt w:val="bullet"/>
      <w:lvlText w:val="•"/>
      <w:lvlJc w:val="left"/>
      <w:pPr>
        <w:ind w:left="10276" w:hanging="322"/>
      </w:pPr>
      <w:rPr>
        <w:rFonts w:hint="default"/>
        <w:lang w:val="en-US" w:eastAsia="zh-CN" w:bidi="ar-SA"/>
      </w:rPr>
    </w:lvl>
    <w:lvl w:ilvl="8" w:tentative="0">
      <w:start w:val="0"/>
      <w:numFmt w:val="bullet"/>
      <w:lvlText w:val="•"/>
      <w:lvlJc w:val="left"/>
      <w:pPr>
        <w:ind w:left="11690" w:hanging="322"/>
      </w:pPr>
      <w:rPr>
        <w:rFonts w:hint="default"/>
        <w:lang w:val="en-US" w:eastAsia="zh-CN" w:bidi="ar-SA"/>
      </w:rPr>
    </w:lvl>
  </w:abstractNum>
  <w:abstractNum w:abstractNumId="4">
    <w:nsid w:val="59ADCABA"/>
    <w:multiLevelType w:val="multilevel"/>
    <w:tmpl w:val="59ADCABA"/>
    <w:lvl w:ilvl="0" w:tentative="0">
      <w:start w:val="1"/>
      <w:numFmt w:val="decimal"/>
      <w:lvlText w:val="%1."/>
      <w:lvlJc w:val="left"/>
      <w:pPr>
        <w:ind w:left="1335"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1"/>
      <w:numFmt w:val="decimal"/>
      <w:lvlText w:val="%1.%2"/>
      <w:lvlJc w:val="left"/>
      <w:pPr>
        <w:ind w:left="1496" w:hanging="483"/>
        <w:jc w:val="left"/>
      </w:pPr>
      <w:rPr>
        <w:rFonts w:hint="default" w:ascii="宋体" w:hAnsi="宋体" w:eastAsia="宋体" w:cs="宋体"/>
        <w:b w:val="0"/>
        <w:bCs w:val="0"/>
        <w:i w:val="0"/>
        <w:iCs w:val="0"/>
        <w:spacing w:val="-2"/>
        <w:w w:val="99"/>
        <w:sz w:val="30"/>
        <w:szCs w:val="30"/>
        <w:lang w:val="en-US" w:eastAsia="zh-CN" w:bidi="ar-SA"/>
      </w:rPr>
    </w:lvl>
    <w:lvl w:ilvl="2" w:tentative="0">
      <w:start w:val="0"/>
      <w:numFmt w:val="bullet"/>
      <w:lvlText w:val="•"/>
      <w:lvlJc w:val="left"/>
      <w:pPr>
        <w:ind w:left="1500" w:hanging="483"/>
      </w:pPr>
      <w:rPr>
        <w:rFonts w:hint="default"/>
        <w:lang w:val="en-US" w:eastAsia="zh-CN" w:bidi="ar-SA"/>
      </w:rPr>
    </w:lvl>
    <w:lvl w:ilvl="3" w:tentative="0">
      <w:start w:val="0"/>
      <w:numFmt w:val="bullet"/>
      <w:lvlText w:val="•"/>
      <w:lvlJc w:val="left"/>
      <w:pPr>
        <w:ind w:left="1580" w:hanging="483"/>
      </w:pPr>
      <w:rPr>
        <w:rFonts w:hint="default"/>
        <w:lang w:val="en-US" w:eastAsia="zh-CN" w:bidi="ar-SA"/>
      </w:rPr>
    </w:lvl>
    <w:lvl w:ilvl="4" w:tentative="0">
      <w:start w:val="0"/>
      <w:numFmt w:val="bullet"/>
      <w:lvlText w:val="•"/>
      <w:lvlJc w:val="left"/>
      <w:pPr>
        <w:ind w:left="3428" w:hanging="483"/>
      </w:pPr>
      <w:rPr>
        <w:rFonts w:hint="default"/>
        <w:lang w:val="en-US" w:eastAsia="zh-CN" w:bidi="ar-SA"/>
      </w:rPr>
    </w:lvl>
    <w:lvl w:ilvl="5" w:tentative="0">
      <w:start w:val="0"/>
      <w:numFmt w:val="bullet"/>
      <w:lvlText w:val="•"/>
      <w:lvlJc w:val="left"/>
      <w:pPr>
        <w:ind w:left="5276" w:hanging="483"/>
      </w:pPr>
      <w:rPr>
        <w:rFonts w:hint="default"/>
        <w:lang w:val="en-US" w:eastAsia="zh-CN" w:bidi="ar-SA"/>
      </w:rPr>
    </w:lvl>
    <w:lvl w:ilvl="6" w:tentative="0">
      <w:start w:val="0"/>
      <w:numFmt w:val="bullet"/>
      <w:lvlText w:val="•"/>
      <w:lvlJc w:val="left"/>
      <w:pPr>
        <w:ind w:left="7124" w:hanging="483"/>
      </w:pPr>
      <w:rPr>
        <w:rFonts w:hint="default"/>
        <w:lang w:val="en-US" w:eastAsia="zh-CN" w:bidi="ar-SA"/>
      </w:rPr>
    </w:lvl>
    <w:lvl w:ilvl="7" w:tentative="0">
      <w:start w:val="0"/>
      <w:numFmt w:val="bullet"/>
      <w:lvlText w:val="•"/>
      <w:lvlJc w:val="left"/>
      <w:pPr>
        <w:ind w:left="8973" w:hanging="483"/>
      </w:pPr>
      <w:rPr>
        <w:rFonts w:hint="default"/>
        <w:lang w:val="en-US" w:eastAsia="zh-CN" w:bidi="ar-SA"/>
      </w:rPr>
    </w:lvl>
    <w:lvl w:ilvl="8" w:tentative="0">
      <w:start w:val="0"/>
      <w:numFmt w:val="bullet"/>
      <w:lvlText w:val="•"/>
      <w:lvlJc w:val="left"/>
      <w:pPr>
        <w:ind w:left="10821" w:hanging="483"/>
      </w:pPr>
      <w:rPr>
        <w:rFonts w:hint="default"/>
        <w:lang w:val="en-US" w:eastAsia="zh-CN"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zM2NjdkMmY0ZmEwMWU0YTliN2E0OGQxNDhkMmQ4YmUifQ=="/>
  </w:docVars>
  <w:rsids>
    <w:rsidRoot w:val="00000000"/>
    <w:rsid w:val="1A9B0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120"/>
      <w:jc w:val="center"/>
      <w:outlineLvl w:val="1"/>
    </w:pPr>
    <w:rPr>
      <w:rFonts w:ascii="PMingLiU" w:hAnsi="PMingLiU" w:eastAsia="PMingLiU" w:cs="PMingLiU"/>
      <w:sz w:val="44"/>
      <w:szCs w:val="44"/>
      <w:lang w:val="en-US" w:eastAsia="zh-CN" w:bidi="ar-SA"/>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oc 1"/>
    <w:basedOn w:val="1"/>
    <w:next w:val="1"/>
    <w:qFormat/>
    <w:uiPriority w:val="1"/>
    <w:pPr>
      <w:spacing w:before="109"/>
      <w:ind w:left="120"/>
      <w:jc w:val="center"/>
    </w:pPr>
    <w:rPr>
      <w:rFonts w:ascii="PMingLiU" w:hAnsi="PMingLiU" w:eastAsia="PMingLiU" w:cs="PMingLiU"/>
      <w:sz w:val="32"/>
      <w:szCs w:val="32"/>
      <w:lang w:val="en-US" w:eastAsia="zh-CN" w:bidi="ar-SA"/>
    </w:rPr>
  </w:style>
  <w:style w:type="paragraph" w:styleId="5">
    <w:name w:val="toc 2"/>
    <w:basedOn w:val="1"/>
    <w:next w:val="1"/>
    <w:qFormat/>
    <w:uiPriority w:val="1"/>
    <w:pPr>
      <w:spacing w:before="127"/>
      <w:ind w:left="340"/>
    </w:pPr>
    <w:rPr>
      <w:rFonts w:ascii="黑体" w:hAnsi="黑体" w:eastAsia="黑体" w:cs="黑体"/>
      <w:sz w:val="26"/>
      <w:szCs w:val="26"/>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14"/>
      <w:ind w:left="373" w:firstLine="640"/>
    </w:pPr>
    <w:rPr>
      <w:rFonts w:ascii="宋体" w:hAnsi="宋体" w:eastAsia="宋体" w:cs="宋体"/>
      <w:lang w:val="en-US" w:eastAsia="zh-CN" w:bidi="ar-SA"/>
    </w:rPr>
  </w:style>
  <w:style w:type="paragraph" w:customStyle="1" w:styleId="10">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21830</Words>
  <Characters>21959</Characters>
  <TotalTime>2</TotalTime>
  <ScaleCrop>false</ScaleCrop>
  <LinksUpToDate>false</LinksUpToDate>
  <CharactersWithSpaces>22211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2023-07-04T02:33:00Z</dcterms:created>
  <dc:creator>Nicky</dc:creator>
  <cp:lastModifiedBy>NekoMaxx</cp:lastModifiedBy>
  <dcterms:modified xsi:type="dcterms:W3CDTF">2023-07-04T02:37:17Z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WPS 文字</vt:lpwstr>
  </property>
  <property fmtid="{D5CDD505-2E9C-101B-9397-08002B2CF9AE}" pid="4" name="LastSaved">
    <vt:filetime>2023-07-04T00:00:00Z</vt:filetime>
  </property>
  <property fmtid="{D5CDD505-2E9C-101B-9397-08002B2CF9AE}" pid="5" name="SourceModified">
    <vt:lpwstr>D:20230608173917+09'39'</vt:lpwstr>
  </property>
  <property fmtid="{D5CDD505-2E9C-101B-9397-08002B2CF9AE}" pid="6" name="KSOProductBuildVer">
    <vt:lpwstr>2052-11.1.0.14036</vt:lpwstr>
  </property>
  <property fmtid="{D5CDD505-2E9C-101B-9397-08002B2CF9AE}" pid="7" name="ICV">
    <vt:lpwstr>70009A8D88984188A61085A4DC1BC2BF_12</vt:lpwstr>
  </property>
</Properties>
</file>